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Prevalence of Dementia and Mild Cognitive Impairment in the Health and Retirement Study: Figures, Tables, and Appendices</w:t>
      </w:r>
    </w:p>
    <w:p>
      <w:pPr>
        <w:pStyle w:val="Author"/>
      </w:pPr>
      <w:r>
        <w:t xml:space="preserve">Richard N. Jones</w:t>
      </w:r>
    </w:p>
    <w:p>
      <w:pPr>
        <w:pStyle w:val="Author"/>
      </w:pPr>
      <w:r>
        <w:t xml:space="preserve">Jennifer J. Manly</w:t>
      </w:r>
    </w:p>
    <w:p>
      <w:pPr>
        <w:pStyle w:val="Author"/>
      </w:pPr>
      <w:r>
        <w:t xml:space="preserve">Douglas Tommet</w:t>
      </w:r>
    </w:p>
    <w:p>
      <w:pPr>
        <w:pStyle w:val="Author"/>
      </w:pPr>
      <w:r>
        <w:t xml:space="preserve">Lindsay Kobayashi</w:t>
      </w:r>
    </w:p>
    <w:p>
      <w:pPr>
        <w:pStyle w:val="Author"/>
      </w:pPr>
      <w:r>
        <w:t xml:space="preserve">Lindsay H. Ryan</w:t>
      </w:r>
    </w:p>
    <w:p>
      <w:pPr>
        <w:pStyle w:val="Author"/>
      </w:pPr>
      <w:r>
        <w:t xml:space="preserve">Deborah A. Levine</w:t>
      </w:r>
    </w:p>
    <w:p>
      <w:pPr>
        <w:pStyle w:val="Author"/>
      </w:pPr>
      <w:r>
        <w:t xml:space="preserve">Ryan J. McCammon</w:t>
      </w:r>
    </w:p>
    <w:p>
      <w:pPr>
        <w:pStyle w:val="Author"/>
      </w:pPr>
      <w:r>
        <w:t xml:space="preserve">Steven G. Heeringa</w:t>
      </w:r>
    </w:p>
    <w:p>
      <w:pPr>
        <w:pStyle w:val="Author"/>
      </w:pPr>
      <w:r>
        <w:t xml:space="preserve">David Weir</w:t>
      </w:r>
    </w:p>
    <w:p>
      <w:pPr>
        <w:pStyle w:val="Author"/>
      </w:pPr>
      <w:r>
        <w:t xml:space="preserve">Kenneth M. Langa</w:t>
      </w:r>
    </w:p>
    <w:p>
      <w:pPr>
        <w:pStyle w:val="Date"/>
      </w:pPr>
      <w:r>
        <w:t xml:space="preserve">2025-07-22</w:t>
      </w:r>
    </w:p>
    <w:p>
      <w:r>
        <w:br w:type="page"/>
      </w:r>
    </w:p>
    <w:tbl>
      <w:tblPr>
        <w:tblStyle w:val="Table"/>
        <w:tblW w:type="pct" w:w="5000"/>
        <w:tblLayout w:type="fixed"/>
        <w:tblLook w:firstRow="0" w:lastRow="0" w:firstColumn="0" w:lastColumn="0" w:noHBand="0" w:noVBand="0" w:val="0000"/>
      </w:tblPr>
      <w:tblGrid>
        <w:gridCol w:w="7920"/>
      </w:tblGrid>
      <w:tr>
        <w:tc>
          <w:tcPr/>
          <w:bookmarkStart w:id="23" w:name="fig-figure1"/>
          <w:p>
            <w:pPr>
              <w:pStyle w:val="Compact"/>
              <w:jc w:val="center"/>
            </w:pPr>
            <w:r>
              <w:drawing>
                <wp:inline>
                  <wp:extent cx="5930900" cy="3991735"/>
                  <wp:effectExtent b="0" l="0" r="0" t="0"/>
                  <wp:docPr descr="" title="" id="21" name="Picture"/>
                  <a:graphic>
                    <a:graphicData uri="http://schemas.openxmlformats.org/drawingml/2006/picture">
                      <pic:pic>
                        <pic:nvPicPr>
                          <pic:cNvPr descr="../Figures/MS_Tab_Fig_Apndx-020-Figure-1.png" id="22" name="Picture"/>
                          <pic:cNvPicPr>
                            <a:picLocks noChangeArrowheads="1" noChangeAspect="1"/>
                          </pic:cNvPicPr>
                        </pic:nvPicPr>
                        <pic:blipFill>
                          <a:blip r:embed="rId20"/>
                          <a:stretch>
                            <a:fillRect/>
                          </a:stretch>
                        </pic:blipFill>
                        <pic:spPr bwMode="auto">
                          <a:xfrm>
                            <a:off x="0" y="0"/>
                            <a:ext cx="5930900" cy="39917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Algorithm for classifying dementia and mild cognitive impairment in the Health and Retirement Study</w:t>
            </w:r>
          </w:p>
          <w:bookmarkEnd w:id="23"/>
        </w:tc>
      </w:tr>
    </w:tbl>
    <w:p>
      <w:pPr>
        <w:pStyle w:val="FootnoteText"/>
      </w:pPr>
      <w:hyperlink w:anchor="fig-figure1">
        <w:r>
          <w:rPr>
            <w:rStyle w:val="Hyperlink"/>
          </w:rPr>
          <w:t xml:space="preserve">Figure 1</w:t>
        </w:r>
      </w:hyperlink>
      <w:r>
        <w:t xml:space="preserve"> </w:t>
      </w:r>
      <w:r>
        <w:t xml:space="preserve">caption. The algorithm for classifying dementia and mild cognitive impairment in the core Health and Retirement Study (HRS). Cell entries for sample size refer to a subsample of HRS/HCAP participants who completed all of the HCAP cognitive tests. Severe and Moderate cognitive impairment are defined using an estimated performance score derived from a single factor model fit to Core cognitive tests, using impairment thresholds to match prevalence estimates from the Harmonized Cognitive Assessment Protocol (HCAP) substudy (Manly et al., 2022). ADL/IADL limitations are assessed using core measures, and any impairment in any assessment item defines impairment. Self-reported concerns about memory or thinking are assessed with two core items asking about change from 2 years ago and current functioning. For HRS participants who do not complete the cognitive assessment, a study partner (usually a spouse) is asked about changes in cognitive performance using Jorm’s Informant Questionnaire (IQCODE). Thresholds for impairment on the IQCODE are those used in Manly et al. (2022).</w:t>
      </w:r>
    </w:p>
    <w:p>
      <w:pPr>
        <w:pStyle w:val="Commentary"/>
      </w:pPr>
      <w:r>
        <w:t xml:space="preserve">If this paper is about the HRS/Core cognitive classification, then the cell sample sizes based on N = 2993 are fine. However, if this paper is about the prevalence of dementia and MCI in the HRS, then the sample sizes should be based on the full HRS sample. This version of the flow diagram could then be included in appendix material that provides more detail on the derivation of the Core classification and relates it to the HCAP classification.</w:t>
      </w:r>
    </w:p>
    <w:p>
      <w:pPr>
        <w:pStyle w:val="Commentary"/>
      </w:pPr>
      <w:r>
        <w:t xml:space="preserve">The text in red highlights differences from previous presentation, and will be removed in the final version.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516"/>
        <w:gridCol w:w="2000"/>
        <w:gridCol w:w="2147"/>
      </w:tblGrid>
      <w:tr>
        <w:trPr>
          <w:trHeight w:val="619" w:hRule="auto"/>
          <w:tblHeader/>
        </w:trPr>
        header 1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Table 1. Participant Characteristics</w:t>
            </w:r>
          </w:p>
        </w:tc>
      </w:tr>
      <w:tr>
        <w:trPr>
          <w:trHeight w:val="824" w:hRule="auto"/>
          <w:tblHeader/>
        </w:trPr>
        header 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Characteristic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HRS 2016 wave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(N = 20,912)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HCAP subsample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(N = 2,993)</w:t>
            </w:r>
          </w:p>
        </w:tc>
      </w:tr>
      <w:tr>
        <w:trPr>
          <w:trHeight w:val="618"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Sex (N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w:r>
          </w:p>
        </w:tc>
      </w:tr>
      <w:tr>
        <w:trPr>
          <w:trHeight w:val="61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12,245 (58.6%)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1,795 (60.0%)</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8,664 (41.4%)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1,198 (40.0%)</w:t>
            </w:r>
          </w:p>
        </w:tc>
      </w:tr>
      <w:tr>
        <w:trPr>
          <w:trHeight w:val="61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Blank, partial interview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3 (0.0%)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w:r>
          </w:p>
        </w:tc>
      </w:tr>
      <w:tr>
        <w:trPr>
          <w:trHeight w:val="621"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Age in years (Mean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65.7 (11.8)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75.7 (7.5)</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Race (N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w:r>
          </w:p>
        </w:tc>
      </w:tr>
      <w:tr>
        <w:trPr>
          <w:trHeight w:val="61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13,822 (66.1%)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2,389 (79.8%)</w:t>
            </w:r>
          </w:p>
        </w:tc>
      </w:tr>
      <w:tr>
        <w:trPr>
          <w:trHeight w:val="61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Black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4,532 (21.7%)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455 (15.2%)</w:t>
            </w:r>
          </w:p>
        </w:tc>
      </w:tr>
      <w:tr>
        <w:trPr>
          <w:trHeight w:val="618"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All other groups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2,477 (11.8%)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148 (4.9%)</w:t>
            </w:r>
          </w:p>
        </w:tc>
      </w:tr>
      <w:tr>
        <w:trPr>
          <w:trHeight w:val="61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Not collected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78 (0.4%)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1 (0.0%)</w:t>
            </w:r>
          </w:p>
        </w:tc>
      </w:tr>
      <w:tr>
        <w:trPr>
          <w:trHeight w:val="61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Blank, partial interview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3 (0.0%)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w:r>
          </w:p>
        </w:tc>
      </w:tr>
      <w:tr>
        <w:trPr>
          <w:trHeight w:val="62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Hispanic origin (N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w:r>
          </w:p>
        </w:tc>
      </w:tr>
      <w:tr>
        <w:trPr>
          <w:trHeight w:val="61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Not Hispanic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17,441 (83.4%)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2,674 (89.3%)</w:t>
            </w:r>
          </w:p>
        </w:tc>
      </w:tr>
      <w:tr>
        <w:trPr>
          <w:trHeight w:val="61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Hispanic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3,427 (16.4%)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318 (10.6%)</w:t>
            </w:r>
          </w:p>
        </w:tc>
      </w:tr>
      <w:tr>
        <w:trPr>
          <w:trHeight w:val="61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Not obtained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41 (0.2%)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1 (0.0%)</w:t>
            </w:r>
          </w:p>
        </w:tc>
      </w:tr>
      <w:tr>
        <w:trPr>
          <w:trHeight w:val="61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Blank, partial interview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3 (0.0%)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w:r>
          </w:p>
        </w:tc>
      </w:tr>
      <w:tr>
        <w:trPr>
          <w:trHeight w:val="618"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Years of education (Mean (SD))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12.8 (3.3)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12.8 (3.2)</w:t>
            </w:r>
          </w:p>
        </w:tc>
      </w:tr>
    </w:tbl>
    <w:p>
      <w:pPr>
        <w:pStyle w:val="FootnoteText"/>
      </w:pPr>
      <w:r>
        <w:t xml:space="preserve">Notes: The HCAP subsample includes 2,993 participants from the HRS 2016 wave. The full HRS/HCAP sample included 3,496 participants. The subsample of 2,993 we use includes those HCAP participants who participated in the neuropsychological assessment portion sufficiently such that none of their 5 derived cognitive domain scores used in the dementia and MCI classification algorithm had to be imputed. We restrict our HCAP comparator sample to those without imputed data to ensure that imputation error does not compound classification error. Race and ethnicity data were gathered via self-report at the time of first interview and are considered to be markers of exposure to evolving systems of racism, not as a proxy for genetic variation or any other biological variable. Race was self-selected by participants at the time of the first interview from a list of options defined by the 2000 US Census criteria. Other race includes a pooled group of participants who identified as American Indian or Alaska Native, Asian, Native Hawaiian or Pacific Islander, or another self-described race, consolidated due to small sample sizes and risk of identification.</w:t>
      </w:r>
    </w:p>
    <w:p>
      <w:r>
        <w:br w:type="page"/>
      </w:r>
    </w:p>
    <w:bookmarkStart w:id="24" w:name="Xda13264eab037875a52e3f104e10721606bcc0d"/>
    <w:p>
      <w:pPr>
        <w:pStyle w:val="Heading3"/>
      </w:pPr>
      <w:r>
        <w:t xml:space="preserve">Table 2. Summary of cognitive, functional, and self-report variables in the HRS 2016 subsample sample (n = 2993)</w:t>
      </w:r>
    </w:p>
    <w:p>
      <w:r>
        <w:br w:type="page"/>
      </w:r>
    </w:p>
    <w:bookmarkEnd w:id="24"/>
    <w:bookmarkStart w:id="25" w:name="X7f122704aea66759eb101bf78d2cbe6b01bd789"/>
    <w:p>
      <w:pPr>
        <w:pStyle w:val="Heading3"/>
      </w:pPr>
      <w:r>
        <w:t xml:space="preserve">Table 3.1 Diagnostic Comparison: HRS/Core Actuarial Classification versus HCAP Consensus Panel diagnosis (N=50)</w:t>
      </w:r>
    </w:p>
    <w:p>
      <w:pPr>
        <w:pStyle w:val="FirstParagraph"/>
      </w:pPr>
      <w:r>
        <w:t xml:space="preserve">Cell entries are expected percentages of the total HRS/HCAP sample.</w:t>
      </w:r>
    </w:p>
    <w:tbl>
      <w:tblPr>
        <w:tblStyle w:val="Table"/>
        <w:tblW w:type="pct" w:w="5000"/>
        <w:tblLayout w:type="fixed"/>
        <w:tblLook w:firstRow="1" w:lastRow="0" w:firstColumn="0" w:lastColumn="0" w:noHBand="0" w:noVBand="0" w:val="0020"/>
      </w:tblPr>
      <w:tblGrid>
        <w:gridCol w:w="1200"/>
        <w:gridCol w:w="1680"/>
        <w:gridCol w:w="1680"/>
        <w:gridCol w:w="1680"/>
        <w:gridCol w:w="1680"/>
      </w:tblGrid>
      <w:tr>
        <w:trPr>
          <w:tblHeader w:val="on"/>
        </w:trPr>
        <w:tc>
          <w:tcPr/>
          <w:p>
            <w:pPr>
              <w:pStyle w:val="Compact"/>
            </w:pPr>
          </w:p>
        </w:tc>
        <w:tc>
          <w:tcPr/>
          <w:p>
            <w:pPr>
              <w:pStyle w:val="Compact"/>
              <w:jc w:val="center"/>
            </w:pPr>
            <w:r>
              <w:rPr>
                <w:b/>
                <w:bCs/>
              </w:rPr>
              <w:t xml:space="preserve">Consensus</w:t>
            </w:r>
          </w:p>
        </w:tc>
        <w:tc>
          <w:tcPr/>
          <w:p>
            <w:pPr>
              <w:pStyle w:val="Compact"/>
            </w:pPr>
          </w:p>
        </w:tc>
        <w:tc>
          <w:tcPr/>
          <w:p>
            <w:pPr>
              <w:pStyle w:val="Compact"/>
            </w:pPr>
          </w:p>
        </w:tc>
        <w:tc>
          <w:tcPr/>
          <w:p>
            <w:pPr>
              <w:pStyle w:val="Compact"/>
            </w:pPr>
          </w:p>
        </w:tc>
      </w:tr>
      <w:tr>
        <w:tc>
          <w:tcPr/>
          <w:p>
            <w:pPr>
              <w:pStyle w:val="Compact"/>
              <w:jc w:val="left"/>
            </w:pPr>
            <w:r>
              <w:rPr>
                <w:b/>
                <w:bCs/>
              </w:rPr>
              <w:t xml:space="preserve">HRS Actuarial</w:t>
            </w:r>
          </w:p>
        </w:tc>
        <w:tc>
          <w:tcPr/>
          <w:p>
            <w:pPr>
              <w:pStyle w:val="Compact"/>
              <w:jc w:val="center"/>
            </w:pPr>
            <w:r>
              <w:rPr>
                <w:b/>
                <w:bCs/>
              </w:rPr>
              <w:t xml:space="preserve">Dementia</w:t>
            </w:r>
          </w:p>
        </w:tc>
        <w:tc>
          <w:tcPr/>
          <w:p>
            <w:pPr>
              <w:pStyle w:val="Compact"/>
              <w:jc w:val="center"/>
            </w:pPr>
            <w:r>
              <w:rPr>
                <w:b/>
                <w:bCs/>
              </w:rPr>
              <w:t xml:space="preserve">MCI</w:t>
            </w:r>
          </w:p>
        </w:tc>
        <w:tc>
          <w:tcPr/>
          <w:p>
            <w:pPr>
              <w:pStyle w:val="Compact"/>
              <w:jc w:val="center"/>
            </w:pPr>
            <w:r>
              <w:rPr>
                <w:b/>
                <w:bCs/>
              </w:rPr>
              <w:t xml:space="preserve">Normal</w:t>
            </w:r>
          </w:p>
        </w:tc>
        <w:tc>
          <w:tcPr/>
          <w:p>
            <w:pPr>
              <w:pStyle w:val="Compact"/>
              <w:jc w:val="center"/>
            </w:pPr>
            <w:r>
              <w:rPr>
                <w:b/>
                <w:bCs/>
              </w:rPr>
              <w:t xml:space="preserve">Total</w:t>
            </w:r>
          </w:p>
        </w:tc>
      </w:tr>
      <w:tr>
        <w:tc>
          <w:tcPr/>
          <w:p>
            <w:pPr>
              <w:pStyle w:val="Compact"/>
              <w:jc w:val="left"/>
            </w:pPr>
            <w:r>
              <w:t xml:space="preserve">Dementia</w:t>
            </w:r>
          </w:p>
        </w:tc>
        <w:tc>
          <w:tcPr/>
          <w:p>
            <w:pPr>
              <w:pStyle w:val="Compact"/>
              <w:jc w:val="center"/>
            </w:pPr>
            <w:r>
              <w:t xml:space="preserve">3.3</w:t>
            </w:r>
          </w:p>
        </w:tc>
        <w:tc>
          <w:tcPr/>
          <w:p>
            <w:pPr>
              <w:pStyle w:val="Compact"/>
              <w:jc w:val="center"/>
            </w:pPr>
            <w:r>
              <w:t xml:space="preserve">0.9</w:t>
            </w:r>
          </w:p>
        </w:tc>
        <w:tc>
          <w:tcPr/>
          <w:p>
            <w:pPr>
              <w:pStyle w:val="Compact"/>
              <w:jc w:val="center"/>
            </w:pPr>
            <w:r>
              <w:t xml:space="preserve">0.4</w:t>
            </w:r>
          </w:p>
        </w:tc>
        <w:tc>
          <w:tcPr/>
          <w:p>
            <w:pPr>
              <w:pStyle w:val="Compact"/>
              <w:jc w:val="center"/>
            </w:pPr>
            <w:r>
              <w:t xml:space="preserve">4.7</w:t>
            </w:r>
          </w:p>
        </w:tc>
      </w:tr>
      <w:tr>
        <w:tc>
          <w:tcPr/>
          <w:p>
            <w:pPr>
              <w:pStyle w:val="Compact"/>
              <w:jc w:val="left"/>
            </w:pPr>
            <w:r>
              <w:t xml:space="preserve">MCI</w:t>
            </w:r>
          </w:p>
        </w:tc>
        <w:tc>
          <w:tcPr/>
          <w:p>
            <w:pPr>
              <w:pStyle w:val="Compact"/>
              <w:jc w:val="center"/>
            </w:pPr>
            <w:r>
              <w:t xml:space="preserve">0.2</w:t>
            </w:r>
          </w:p>
        </w:tc>
        <w:tc>
          <w:tcPr/>
          <w:p>
            <w:pPr>
              <w:pStyle w:val="Compact"/>
              <w:jc w:val="center"/>
            </w:pPr>
            <w:r>
              <w:t xml:space="preserve">5.4</w:t>
            </w:r>
          </w:p>
        </w:tc>
        <w:tc>
          <w:tcPr/>
          <w:p>
            <w:pPr>
              <w:pStyle w:val="Compact"/>
              <w:jc w:val="center"/>
            </w:pPr>
            <w:r>
              <w:t xml:space="preserve">19.9</w:t>
            </w:r>
          </w:p>
        </w:tc>
        <w:tc>
          <w:tcPr/>
          <w:p>
            <w:pPr>
              <w:pStyle w:val="Compact"/>
              <w:jc w:val="center"/>
            </w:pPr>
            <w:r>
              <w:t xml:space="preserve">25.5</w:t>
            </w:r>
          </w:p>
        </w:tc>
      </w:tr>
      <w:tr>
        <w:tc>
          <w:tcPr/>
          <w:p>
            <w:pPr>
              <w:pStyle w:val="Compact"/>
              <w:jc w:val="left"/>
            </w:pPr>
            <w:r>
              <w:t xml:space="preserve">Normal</w:t>
            </w:r>
          </w:p>
        </w:tc>
        <w:tc>
          <w:tcPr/>
          <w:p>
            <w:pPr>
              <w:pStyle w:val="Compact"/>
              <w:jc w:val="center"/>
            </w:pPr>
            <w:r>
              <w:t xml:space="preserve">0.4</w:t>
            </w:r>
          </w:p>
        </w:tc>
        <w:tc>
          <w:tcPr/>
          <w:p>
            <w:pPr>
              <w:pStyle w:val="Compact"/>
              <w:jc w:val="center"/>
            </w:pPr>
            <w:r>
              <w:t xml:space="preserve">16.7</w:t>
            </w:r>
          </w:p>
        </w:tc>
        <w:tc>
          <w:tcPr/>
          <w:p>
            <w:pPr>
              <w:pStyle w:val="Compact"/>
              <w:jc w:val="center"/>
            </w:pPr>
            <w:r>
              <w:t xml:space="preserve">52.6</w:t>
            </w:r>
          </w:p>
        </w:tc>
        <w:tc>
          <w:tcPr/>
          <w:p>
            <w:pPr>
              <w:pStyle w:val="Compact"/>
              <w:jc w:val="center"/>
            </w:pPr>
            <w:r>
              <w:t xml:space="preserve">69.8</w:t>
            </w:r>
          </w:p>
        </w:tc>
      </w:tr>
      <w:tr>
        <w:tc>
          <w:tcPr/>
          <w:p>
            <w:pPr>
              <w:pStyle w:val="Compact"/>
              <w:jc w:val="left"/>
            </w:pPr>
            <w:r>
              <w:rPr>
                <w:b/>
                <w:bCs/>
              </w:rPr>
              <w:t xml:space="preserve">Total</w:t>
            </w:r>
          </w:p>
        </w:tc>
        <w:tc>
          <w:tcPr/>
          <w:p>
            <w:pPr>
              <w:pStyle w:val="Compact"/>
              <w:jc w:val="center"/>
            </w:pPr>
            <w:r>
              <w:t xml:space="preserve">4</w:t>
            </w:r>
          </w:p>
        </w:tc>
        <w:tc>
          <w:tcPr/>
          <w:p>
            <w:pPr>
              <w:pStyle w:val="Compact"/>
              <w:jc w:val="center"/>
            </w:pPr>
            <w:r>
              <w:t xml:space="preserve">23.1</w:t>
            </w:r>
          </w:p>
        </w:tc>
        <w:tc>
          <w:tcPr/>
          <w:p>
            <w:pPr>
              <w:pStyle w:val="Compact"/>
              <w:jc w:val="center"/>
            </w:pPr>
            <w:r>
              <w:t xml:space="preserve">72.9</w:t>
            </w:r>
          </w:p>
        </w:tc>
        <w:tc>
          <w:tcPr/>
          <w:p>
            <w:pPr>
              <w:pStyle w:val="Compact"/>
              <w:jc w:val="center"/>
            </w:pPr>
            <w:r>
              <w:t xml:space="preserve">100</w:t>
            </w:r>
          </w:p>
        </w:tc>
      </w:tr>
    </w:tbl>
    <w:p>
      <w:pPr>
        <w:pStyle w:val="FootnoteText"/>
      </w:pPr>
      <w:r>
        <w:t xml:space="preserve">Note: The validation sample over-represents persons with high diagnostic uncertainty. Table 3 accounts for the sample selection probabilities to generate agreement statistics that would be expected if we had drawn a simple random sample of HRS/HCAP participants to the validation study.</w:t>
      </w:r>
    </w:p>
    <w:p>
      <w:pPr>
        <w:pStyle w:val="BodyText"/>
      </w:pPr>
      <w:r>
        <w:t xml:space="preserve">The weighted kappa statistic is 0.33, indicating a</w:t>
      </w:r>
      <w:r>
        <w:t xml:space="preserve"> </w:t>
      </w:r>
      <w:r>
        <w:t xml:space="preserve">“poor”</w:t>
      </w:r>
      <w:r>
        <w:t xml:space="preserve"> </w:t>
      </w:r>
      <w:r>
        <w:t xml:space="preserve">level of agreement between the HRS/Core Actuarial classification and the HCAP Consensus Panel diagnosis.</w:t>
      </w:r>
    </w:p>
    <w:p>
      <w:pPr>
        <w:pStyle w:val="BodyText"/>
      </w:pPr>
      <w:r>
        <w:t xml:space="preserve">From: Cicchetti, D. V. (1994). Guidelines, criteria, and rules of thumb for evaluating normed and standardized assessment instruments in psychology. Psychological assessment, 6(4), page 286:</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w:t>
            </w:r>
          </w:p>
        </w:tc>
        <w:tc>
          <w:tcPr/>
          <w:p>
            <w:pPr>
              <w:pStyle w:val="Compact"/>
              <w:jc w:val="left"/>
            </w:pPr>
            <w:r>
              <w:t xml:space="preserve">Agreement</w:t>
            </w:r>
          </w:p>
        </w:tc>
      </w:tr>
      <w:tr>
        <w:tc>
          <w:tcPr/>
          <w:p>
            <w:pPr>
              <w:pStyle w:val="Compact"/>
              <w:jc w:val="left"/>
            </w:pPr>
            <w:r>
              <w:t xml:space="preserve">&lt;0.4</w:t>
            </w:r>
          </w:p>
        </w:tc>
        <w:tc>
          <w:tcPr/>
          <w:p>
            <w:pPr>
              <w:pStyle w:val="Compact"/>
              <w:jc w:val="left"/>
            </w:pPr>
            <w:r>
              <w:t xml:space="preserve">“Poor”</w:t>
            </w:r>
          </w:p>
        </w:tc>
      </w:tr>
      <w:tr>
        <w:tc>
          <w:tcPr/>
          <w:p>
            <w:pPr>
              <w:pStyle w:val="Compact"/>
              <w:jc w:val="left"/>
            </w:pPr>
            <w:r>
              <w:t xml:space="preserve">0.40 - 0.59</w:t>
            </w:r>
          </w:p>
        </w:tc>
        <w:tc>
          <w:tcPr/>
          <w:p>
            <w:pPr>
              <w:pStyle w:val="Compact"/>
              <w:jc w:val="left"/>
            </w:pPr>
            <w:r>
              <w:t xml:space="preserve">“Fair”</w:t>
            </w:r>
          </w:p>
        </w:tc>
      </w:tr>
      <w:tr>
        <w:tc>
          <w:tcPr/>
          <w:p>
            <w:pPr>
              <w:pStyle w:val="Compact"/>
              <w:jc w:val="left"/>
            </w:pPr>
            <w:r>
              <w:t xml:space="preserve">0.60 - 0.74</w:t>
            </w:r>
          </w:p>
        </w:tc>
        <w:tc>
          <w:tcPr/>
          <w:p>
            <w:pPr>
              <w:pStyle w:val="Compact"/>
              <w:jc w:val="left"/>
            </w:pPr>
            <w:r>
              <w:t xml:space="preserve">“Good”</w:t>
            </w:r>
          </w:p>
        </w:tc>
      </w:tr>
      <w:tr>
        <w:tc>
          <w:tcPr/>
          <w:p>
            <w:pPr>
              <w:pStyle w:val="Compact"/>
              <w:jc w:val="left"/>
            </w:pPr>
            <w:r>
              <w:t xml:space="preserve">0.75 - 1.00</w:t>
            </w:r>
          </w:p>
        </w:tc>
        <w:tc>
          <w:tcPr/>
          <w:p>
            <w:pPr>
              <w:pStyle w:val="Compact"/>
              <w:jc w:val="left"/>
            </w:pPr>
            <w:r>
              <w:t xml:space="preserve">“Excellent”</w:t>
            </w:r>
          </w:p>
        </w:tc>
      </w:tr>
    </w:tbl>
    <w:p>
      <w:pPr>
        <w:pStyle w:val="BodyText"/>
      </w:pPr>
      <w:r>
        <w:rPr>
          <w:b/>
          <w:bCs/>
        </w:rPr>
        <w:t xml:space="preserve">But the</w:t>
      </w:r>
      <w:r>
        <w:rPr>
          <w:b/>
          <w:bCs/>
        </w:rPr>
        <w:t xml:space="preserve"> </w:t>
      </w:r>
      <w:r>
        <w:rPr>
          <w:b/>
          <w:bCs/>
        </w:rPr>
        <w:t xml:space="preserve">“problem”</w:t>
      </w:r>
      <w:r>
        <w:rPr>
          <w:b/>
          <w:bCs/>
        </w:rPr>
        <w:t xml:space="preserve"> </w:t>
      </w:r>
      <w:r>
        <w:rPr>
          <w:b/>
          <w:bCs/>
        </w:rPr>
        <w:t xml:space="preserve">is MCI</w:t>
      </w:r>
    </w:p>
    <w:p>
      <w:pPr>
        <w:pStyle w:val="BodyText"/>
      </w:pPr>
      <w:r>
        <w:t xml:space="preserve">The agreement (unweighted Cohen’s kappa) for dementia vs MCI or Normal is 0.77 indicating a</w:t>
      </w:r>
      <w:r>
        <w:t xml:space="preserve"> </w:t>
      </w:r>
      <w:r>
        <w:t xml:space="preserve">“excellent”</w:t>
      </w:r>
      <w:r>
        <w:t xml:space="preserve"> </w:t>
      </w:r>
      <w:r>
        <w:t xml:space="preserve">level of agreement between the HRS/Core Actuarial classification and the HRS/HCAP validation sample consensus panel classification.</w:t>
      </w:r>
    </w:p>
    <w:p>
      <w:pPr>
        <w:pStyle w:val="BodyText"/>
      </w:pPr>
      <w:r>
        <w:t xml:space="preserve">By way of comparison, the HRS/HCAP Actuarial classification of Dementia vs MCI or Normal, relative to the HRS/HCAP validation subsample consensus diagnosis of Dementia vs MCI or Normal, has agreement characterized by a kappa statistic of 0.70 (Farron et al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jc w:val="center"/>
            </w:pPr>
            <w:r>
              <w:rPr>
                <w:b/>
                <w:bCs/>
              </w:rPr>
              <w:t xml:space="preserve">Consensus</w:t>
            </w:r>
          </w:p>
        </w:tc>
        <w:tc>
          <w:tcPr/>
          <w:p>
            <w:pPr>
              <w:pStyle w:val="Compact"/>
            </w:pPr>
          </w:p>
        </w:tc>
        <w:tc>
          <w:tcPr/>
          <w:p>
            <w:pPr>
              <w:pStyle w:val="Compact"/>
            </w:pPr>
          </w:p>
        </w:tc>
      </w:tr>
      <w:tr>
        <w:tc>
          <w:tcPr/>
          <w:p>
            <w:pPr>
              <w:pStyle w:val="Compact"/>
              <w:jc w:val="left"/>
            </w:pPr>
            <w:r>
              <w:rPr>
                <w:b/>
                <w:bCs/>
              </w:rPr>
              <w:t xml:space="preserve">HRS/HCAP</w:t>
            </w:r>
          </w:p>
        </w:tc>
        <w:tc>
          <w:tcPr/>
          <w:p>
            <w:pPr>
              <w:pStyle w:val="Compact"/>
              <w:jc w:val="center"/>
            </w:pPr>
            <w:r>
              <w:rPr>
                <w:b/>
                <w:bCs/>
              </w:rPr>
              <w:t xml:space="preserve">Dementia</w:t>
            </w:r>
          </w:p>
        </w:tc>
        <w:tc>
          <w:tcPr/>
          <w:p>
            <w:pPr>
              <w:pStyle w:val="Compact"/>
              <w:jc w:val="center"/>
            </w:pPr>
            <w:r>
              <w:rPr>
                <w:b/>
                <w:bCs/>
              </w:rPr>
              <w:t xml:space="preserve">MCI or Normal</w:t>
            </w:r>
          </w:p>
        </w:tc>
        <w:tc>
          <w:tcPr/>
          <w:p>
            <w:pPr>
              <w:pStyle w:val="Compact"/>
              <w:jc w:val="center"/>
            </w:pPr>
            <w:r>
              <w:rPr>
                <w:b/>
                <w:bCs/>
              </w:rPr>
              <w:t xml:space="preserve">Total</w:t>
            </w:r>
          </w:p>
        </w:tc>
      </w:tr>
      <w:tr>
        <w:tc>
          <w:tcPr/>
          <w:p>
            <w:pPr>
              <w:pStyle w:val="Compact"/>
              <w:jc w:val="left"/>
            </w:pPr>
            <w:r>
              <w:t xml:space="preserve">Dementia</w:t>
            </w:r>
          </w:p>
        </w:tc>
        <w:tc>
          <w:tcPr/>
          <w:p>
            <w:pPr>
              <w:pStyle w:val="Compact"/>
              <w:jc w:val="center"/>
            </w:pPr>
            <w:r>
              <w:t xml:space="preserve">4.4</w:t>
            </w:r>
          </w:p>
        </w:tc>
        <w:tc>
          <w:tcPr/>
          <w:p>
            <w:pPr>
              <w:pStyle w:val="Compact"/>
              <w:jc w:val="center"/>
            </w:pPr>
            <w:r>
              <w:t xml:space="preserve">3.3</w:t>
            </w:r>
          </w:p>
        </w:tc>
        <w:tc>
          <w:tcPr/>
          <w:p>
            <w:pPr>
              <w:pStyle w:val="Compact"/>
              <w:jc w:val="center"/>
            </w:pPr>
            <w:r>
              <w:t xml:space="preserve">7.7</w:t>
            </w:r>
          </w:p>
        </w:tc>
      </w:tr>
      <w:tr>
        <w:tc>
          <w:tcPr/>
          <w:p>
            <w:pPr>
              <w:pStyle w:val="Compact"/>
              <w:jc w:val="left"/>
            </w:pPr>
            <w:r>
              <w:t xml:space="preserve">MCI or Normal</w:t>
            </w:r>
          </w:p>
        </w:tc>
        <w:tc>
          <w:tcPr/>
          <w:p>
            <w:pPr>
              <w:pStyle w:val="Compact"/>
              <w:jc w:val="center"/>
            </w:pPr>
            <w:r>
              <w:t xml:space="preserve">0.2</w:t>
            </w:r>
          </w:p>
        </w:tc>
        <w:tc>
          <w:tcPr/>
          <w:p>
            <w:pPr>
              <w:pStyle w:val="Compact"/>
              <w:jc w:val="center"/>
            </w:pPr>
            <w:r>
              <w:t xml:space="preserve">92.0</w:t>
            </w:r>
          </w:p>
        </w:tc>
        <w:tc>
          <w:tcPr/>
          <w:p>
            <w:pPr>
              <w:pStyle w:val="Compact"/>
              <w:jc w:val="center"/>
            </w:pPr>
            <w:r>
              <w:t xml:space="preserve">92.2</w:t>
            </w:r>
          </w:p>
        </w:tc>
      </w:tr>
      <w:tr>
        <w:tc>
          <w:tcPr/>
          <w:p>
            <w:pPr>
              <w:pStyle w:val="Compact"/>
              <w:jc w:val="left"/>
            </w:pPr>
            <w:r>
              <w:rPr>
                <w:b/>
                <w:bCs/>
              </w:rPr>
              <w:t xml:space="preserve">Total</w:t>
            </w:r>
          </w:p>
        </w:tc>
        <w:tc>
          <w:tcPr/>
          <w:p>
            <w:pPr>
              <w:pStyle w:val="Compact"/>
              <w:jc w:val="center"/>
            </w:pPr>
            <w:r>
              <w:t xml:space="preserve">4.6</w:t>
            </w:r>
          </w:p>
        </w:tc>
        <w:tc>
          <w:tcPr/>
          <w:p>
            <w:pPr>
              <w:pStyle w:val="Compact"/>
              <w:jc w:val="center"/>
            </w:pPr>
            <w:r>
              <w:t xml:space="preserve">95.3</w:t>
            </w:r>
          </w:p>
        </w:tc>
        <w:tc>
          <w:tcPr/>
          <w:p>
            <w:pPr>
              <w:pStyle w:val="Compact"/>
              <w:jc w:val="center"/>
            </w:pPr>
            <w:r>
              <w:t xml:space="preserve">99.9</w:t>
            </w:r>
          </w:p>
        </w:tc>
      </w:tr>
    </w:tbl>
    <w:p>
      <w:pPr>
        <w:pStyle w:val="FootnoteText"/>
      </w:pPr>
      <w:r>
        <w:t xml:space="preserve">Note: Results summarized from Farron et al 2025.</w:t>
      </w:r>
    </w:p>
    <w:p>
      <w:r>
        <w:br w:type="page"/>
      </w:r>
    </w:p>
    <w:bookmarkEnd w:id="25"/>
    <w:bookmarkStart w:id="26" w:name="X0d639b70228bab4e24629cc88b57e3bce168f28"/>
    <w:p>
      <w:pPr>
        <w:pStyle w:val="Heading3"/>
      </w:pPr>
      <w:r>
        <w:t xml:space="preserve">Table 3.2 Diagnostic Comparison: HRS/Core Actuarial Classification versus HRS/HCAP Actuarial Classification (N=2,992)</w:t>
      </w:r>
    </w:p>
    <w:p>
      <w:pPr>
        <w:pStyle w:val="FirstParagraph"/>
      </w:pPr>
      <w:r>
        <w:t xml:space="preserve">Cell entries are observed percentages of the total HRS/HCAP subsample.</w:t>
      </w:r>
    </w:p>
    <w:tbl>
      <w:tblPr>
        <w:tblStyle w:val="Table"/>
        <w:tblW w:type="pct" w:w="5000"/>
        <w:tblLayout w:type="fixed"/>
        <w:tblLook w:firstRow="1" w:lastRow="0" w:firstColumn="0" w:lastColumn="0" w:noHBand="0" w:noVBand="0" w:val="0020"/>
      </w:tblPr>
      <w:tblGrid>
        <w:gridCol w:w="1200"/>
        <w:gridCol w:w="1680"/>
        <w:gridCol w:w="1680"/>
        <w:gridCol w:w="1680"/>
        <w:gridCol w:w="1680"/>
      </w:tblGrid>
      <w:tr>
        <w:trPr>
          <w:tblHeader w:val="on"/>
        </w:trPr>
        <w:tc>
          <w:tcPr/>
          <w:p>
            <w:pPr>
              <w:pStyle w:val="Compact"/>
            </w:pPr>
          </w:p>
        </w:tc>
        <w:tc>
          <w:tcPr/>
          <w:p>
            <w:pPr>
              <w:pStyle w:val="Compact"/>
              <w:jc w:val="center"/>
            </w:pPr>
            <w:r>
              <w:rPr>
                <w:b/>
                <w:bCs/>
              </w:rPr>
              <w:t xml:space="preserve">HRS/HCAP</w:t>
            </w:r>
          </w:p>
        </w:tc>
        <w:tc>
          <w:tcPr/>
          <w:p>
            <w:pPr>
              <w:pStyle w:val="Compact"/>
            </w:pPr>
          </w:p>
        </w:tc>
        <w:tc>
          <w:tcPr/>
          <w:p>
            <w:pPr>
              <w:pStyle w:val="Compact"/>
            </w:pPr>
          </w:p>
        </w:tc>
        <w:tc>
          <w:tcPr/>
          <w:p>
            <w:pPr>
              <w:pStyle w:val="Compact"/>
            </w:pPr>
          </w:p>
        </w:tc>
      </w:tr>
      <w:tr>
        <w:tc>
          <w:tcPr/>
          <w:p>
            <w:pPr>
              <w:pStyle w:val="Compact"/>
              <w:jc w:val="left"/>
            </w:pPr>
            <w:r>
              <w:rPr>
                <w:b/>
                <w:bCs/>
              </w:rPr>
              <w:t xml:space="preserve">HRS Actuarial</w:t>
            </w:r>
          </w:p>
        </w:tc>
        <w:tc>
          <w:tcPr/>
          <w:p>
            <w:pPr>
              <w:pStyle w:val="Compact"/>
              <w:jc w:val="center"/>
            </w:pPr>
            <w:r>
              <w:rPr>
                <w:b/>
                <w:bCs/>
              </w:rPr>
              <w:t xml:space="preserve">Dementia</w:t>
            </w:r>
          </w:p>
        </w:tc>
        <w:tc>
          <w:tcPr/>
          <w:p>
            <w:pPr>
              <w:pStyle w:val="Compact"/>
              <w:jc w:val="center"/>
            </w:pPr>
            <w:r>
              <w:rPr>
                <w:b/>
                <w:bCs/>
              </w:rPr>
              <w:t xml:space="preserve">MCI</w:t>
            </w:r>
          </w:p>
        </w:tc>
        <w:tc>
          <w:tcPr/>
          <w:p>
            <w:pPr>
              <w:pStyle w:val="Compact"/>
              <w:jc w:val="center"/>
            </w:pPr>
            <w:r>
              <w:rPr>
                <w:b/>
                <w:bCs/>
              </w:rPr>
              <w:t xml:space="preserve">Normal</w:t>
            </w:r>
          </w:p>
        </w:tc>
        <w:tc>
          <w:tcPr/>
          <w:p>
            <w:pPr>
              <w:pStyle w:val="Compact"/>
              <w:jc w:val="center"/>
            </w:pPr>
            <w:r>
              <w:rPr>
                <w:b/>
                <w:bCs/>
              </w:rPr>
              <w:t xml:space="preserve">Total</w:t>
            </w:r>
          </w:p>
        </w:tc>
      </w:tr>
      <w:tr>
        <w:tc>
          <w:tcPr/>
          <w:p>
            <w:pPr>
              <w:pStyle w:val="Compact"/>
              <w:jc w:val="left"/>
            </w:pPr>
            <w:r>
              <w:t xml:space="preserve">Dementia</w:t>
            </w:r>
          </w:p>
        </w:tc>
        <w:tc>
          <w:tcPr/>
          <w:p>
            <w:pPr>
              <w:pStyle w:val="Compact"/>
              <w:jc w:val="center"/>
            </w:pPr>
            <w:r>
              <w:t xml:space="preserve">4.2</w:t>
            </w:r>
          </w:p>
        </w:tc>
        <w:tc>
          <w:tcPr/>
          <w:p>
            <w:pPr>
              <w:pStyle w:val="Compact"/>
              <w:jc w:val="center"/>
            </w:pPr>
            <w:r>
              <w:t xml:space="preserve">2.9</w:t>
            </w:r>
          </w:p>
        </w:tc>
        <w:tc>
          <w:tcPr/>
          <w:p>
            <w:pPr>
              <w:pStyle w:val="Compact"/>
              <w:jc w:val="center"/>
            </w:pPr>
            <w:r>
              <w:t xml:space="preserve">1.8</w:t>
            </w:r>
          </w:p>
        </w:tc>
        <w:tc>
          <w:tcPr/>
          <w:p>
            <w:pPr>
              <w:pStyle w:val="Compact"/>
              <w:jc w:val="center"/>
            </w:pPr>
            <w:r>
              <w:t xml:space="preserve">9</w:t>
            </w:r>
          </w:p>
        </w:tc>
      </w:tr>
      <w:tr>
        <w:tc>
          <w:tcPr/>
          <w:p>
            <w:pPr>
              <w:pStyle w:val="Compact"/>
              <w:jc w:val="left"/>
            </w:pPr>
            <w:r>
              <w:t xml:space="preserve">MCI</w:t>
            </w:r>
          </w:p>
        </w:tc>
        <w:tc>
          <w:tcPr/>
          <w:p>
            <w:pPr>
              <w:pStyle w:val="Compact"/>
              <w:jc w:val="center"/>
            </w:pPr>
            <w:r>
              <w:t xml:space="preserve">3.3</w:t>
            </w:r>
          </w:p>
        </w:tc>
        <w:tc>
          <w:tcPr/>
          <w:p>
            <w:pPr>
              <w:pStyle w:val="Compact"/>
              <w:jc w:val="center"/>
            </w:pPr>
            <w:r>
              <w:t xml:space="preserve">6.4</w:t>
            </w:r>
          </w:p>
        </w:tc>
        <w:tc>
          <w:tcPr/>
          <w:p>
            <w:pPr>
              <w:pStyle w:val="Compact"/>
              <w:jc w:val="center"/>
            </w:pPr>
            <w:r>
              <w:t xml:space="preserve">7.2</w:t>
            </w:r>
          </w:p>
        </w:tc>
        <w:tc>
          <w:tcPr/>
          <w:p>
            <w:pPr>
              <w:pStyle w:val="Compact"/>
              <w:jc w:val="center"/>
            </w:pPr>
            <w:r>
              <w:t xml:space="preserve">16.8</w:t>
            </w:r>
          </w:p>
        </w:tc>
      </w:tr>
      <w:tr>
        <w:tc>
          <w:tcPr/>
          <w:p>
            <w:pPr>
              <w:pStyle w:val="Compact"/>
              <w:jc w:val="left"/>
            </w:pPr>
            <w:r>
              <w:t xml:space="preserve">Normal</w:t>
            </w:r>
          </w:p>
        </w:tc>
        <w:tc>
          <w:tcPr/>
          <w:p>
            <w:pPr>
              <w:pStyle w:val="Compact"/>
              <w:jc w:val="center"/>
            </w:pPr>
            <w:r>
              <w:t xml:space="preserve">1.9</w:t>
            </w:r>
          </w:p>
        </w:tc>
        <w:tc>
          <w:tcPr/>
          <w:p>
            <w:pPr>
              <w:pStyle w:val="Compact"/>
              <w:jc w:val="center"/>
            </w:pPr>
            <w:r>
              <w:t xml:space="preserve">12.5</w:t>
            </w:r>
          </w:p>
        </w:tc>
        <w:tc>
          <w:tcPr/>
          <w:p>
            <w:pPr>
              <w:pStyle w:val="Compact"/>
              <w:jc w:val="center"/>
            </w:pPr>
            <w:r>
              <w:t xml:space="preserve">59.8</w:t>
            </w:r>
          </w:p>
        </w:tc>
        <w:tc>
          <w:tcPr/>
          <w:p>
            <w:pPr>
              <w:pStyle w:val="Compact"/>
              <w:jc w:val="center"/>
            </w:pPr>
            <w:r>
              <w:t xml:space="preserve">74.2</w:t>
            </w:r>
          </w:p>
        </w:tc>
      </w:tr>
      <w:tr>
        <w:tc>
          <w:tcPr/>
          <w:p>
            <w:pPr>
              <w:pStyle w:val="Compact"/>
              <w:jc w:val="left"/>
            </w:pPr>
            <w:r>
              <w:rPr>
                <w:b/>
                <w:bCs/>
              </w:rPr>
              <w:t xml:space="preserve">Total</w:t>
            </w:r>
          </w:p>
        </w:tc>
        <w:tc>
          <w:tcPr/>
          <w:p>
            <w:pPr>
              <w:pStyle w:val="Compact"/>
              <w:jc w:val="center"/>
            </w:pPr>
            <w:r>
              <w:t xml:space="preserve">9.4</w:t>
            </w:r>
          </w:p>
        </w:tc>
        <w:tc>
          <w:tcPr/>
          <w:p>
            <w:pPr>
              <w:pStyle w:val="Compact"/>
              <w:jc w:val="center"/>
            </w:pPr>
            <w:r>
              <w:t xml:space="preserve">21.8</w:t>
            </w:r>
          </w:p>
        </w:tc>
        <w:tc>
          <w:tcPr/>
          <w:p>
            <w:pPr>
              <w:pStyle w:val="Compact"/>
              <w:jc w:val="center"/>
            </w:pPr>
            <w:r>
              <w:t xml:space="preserve">68.8</w:t>
            </w:r>
          </w:p>
        </w:tc>
        <w:tc>
          <w:tcPr/>
          <w:p>
            <w:pPr>
              <w:pStyle w:val="Compact"/>
              <w:jc w:val="center"/>
            </w:pPr>
            <w:r>
              <w:t xml:space="preserve">100</w:t>
            </w:r>
          </w:p>
        </w:tc>
      </w:tr>
    </w:tbl>
    <w:p>
      <w:pPr>
        <w:pStyle w:val="FootnoteText"/>
      </w:pPr>
      <w:r>
        <w:t xml:space="preserve">Note: cell entries are do not take into account sampling weights.</w:t>
      </w:r>
    </w:p>
    <w:p>
      <w:pPr>
        <w:pStyle w:val="BodyText"/>
      </w:pPr>
      <w:r>
        <w:t xml:space="preserve">The weighted kappa statistic is 0.51, indicating a</w:t>
      </w:r>
      <w:r>
        <w:t xml:space="preserve"> </w:t>
      </w:r>
      <w:r>
        <w:t xml:space="preserve">“fair”</w:t>
      </w:r>
      <w:r>
        <w:t xml:space="preserve"> </w:t>
      </w:r>
      <w:r>
        <w:t xml:space="preserve">level of agreement between the HRS/Core Actuarial classification and the HCAP actuarial classification.</w:t>
      </w:r>
    </w:p>
    <w:p>
      <w:pPr>
        <w:pStyle w:val="BodyText"/>
      </w:pPr>
      <w:r>
        <w:t xml:space="preserve">The agreement (unweighted Cohen’s kappa) for dementia vs MCI or Normal is 0.4 indicating a</w:t>
      </w:r>
      <w:r>
        <w:t xml:space="preserve"> </w:t>
      </w:r>
      <w:r>
        <w:t xml:space="preserve">“fair”</w:t>
      </w:r>
      <w:r>
        <w:t xml:space="preserve"> </w:t>
      </w:r>
      <w:r>
        <w:t xml:space="preserve">level of agreement between the HRS/Core Actuarial classification and the HRS/HCAP actuarial classification.</w:t>
      </w:r>
    </w:p>
    <w:p>
      <w:r>
        <w:br w:type="page"/>
      </w:r>
    </w:p>
    <w:bookmarkEnd w:id="26"/>
    <w:bookmarkStart w:id="27" w:name="X831750f03bfc5094df3c32fde96c0f07148da7f"/>
    <w:p>
      <w:pPr>
        <w:pStyle w:val="Heading3"/>
      </w:pPr>
      <w:r>
        <w:t xml:space="preserve">Table 3.3 Diagnostic Comparison: HRS/Core Actuarial Classification versus HRS Langa-Weir Classification (N=2,992)</w:t>
      </w:r>
    </w:p>
    <w:p>
      <w:pPr>
        <w:pStyle w:val="FirstParagraph"/>
      </w:pPr>
      <w:r>
        <w:t xml:space="preserve">Cell entries are observed percentages of the total HRS/HCAP subsample.</w:t>
      </w:r>
    </w:p>
    <w:tbl>
      <w:tblPr>
        <w:tblStyle w:val="Table"/>
        <w:tblW w:type="pct" w:w="5000"/>
        <w:tblLayout w:type="fixed"/>
        <w:tblLook w:firstRow="1" w:lastRow="0" w:firstColumn="0" w:lastColumn="0" w:noHBand="0" w:noVBand="0" w:val="0020"/>
      </w:tblPr>
      <w:tblGrid>
        <w:gridCol w:w="1200"/>
        <w:gridCol w:w="1680"/>
        <w:gridCol w:w="1680"/>
        <w:gridCol w:w="1680"/>
        <w:gridCol w:w="1680"/>
      </w:tblGrid>
      <w:tr>
        <w:trPr>
          <w:tblHeader w:val="on"/>
        </w:trPr>
        <w:tc>
          <w:tcPr/>
          <w:p>
            <w:pPr>
              <w:pStyle w:val="Compact"/>
            </w:pPr>
          </w:p>
        </w:tc>
        <w:tc>
          <w:tcPr/>
          <w:p>
            <w:pPr>
              <w:pStyle w:val="Compact"/>
              <w:jc w:val="center"/>
            </w:pPr>
            <w:r>
              <w:rPr>
                <w:b/>
                <w:bCs/>
              </w:rPr>
              <w:t xml:space="preserve">Langa-Weir</w:t>
            </w:r>
          </w:p>
        </w:tc>
        <w:tc>
          <w:tcPr/>
          <w:p>
            <w:pPr>
              <w:pStyle w:val="Compact"/>
            </w:pPr>
          </w:p>
        </w:tc>
        <w:tc>
          <w:tcPr/>
          <w:p>
            <w:pPr>
              <w:pStyle w:val="Compact"/>
            </w:pPr>
          </w:p>
        </w:tc>
        <w:tc>
          <w:tcPr/>
          <w:p>
            <w:pPr>
              <w:pStyle w:val="Compact"/>
            </w:pPr>
          </w:p>
        </w:tc>
      </w:tr>
      <w:tr>
        <w:tc>
          <w:tcPr/>
          <w:p>
            <w:pPr>
              <w:pStyle w:val="Compact"/>
              <w:jc w:val="left"/>
            </w:pPr>
            <w:r>
              <w:rPr>
                <w:b/>
                <w:bCs/>
              </w:rPr>
              <w:t xml:space="preserve">HRS Actuarial</w:t>
            </w:r>
          </w:p>
        </w:tc>
        <w:tc>
          <w:tcPr/>
          <w:p>
            <w:pPr>
              <w:pStyle w:val="Compact"/>
              <w:jc w:val="center"/>
            </w:pPr>
            <w:r>
              <w:rPr>
                <w:b/>
                <w:bCs/>
              </w:rPr>
              <w:t xml:space="preserve">Dementia</w:t>
            </w:r>
          </w:p>
        </w:tc>
        <w:tc>
          <w:tcPr/>
          <w:p>
            <w:pPr>
              <w:pStyle w:val="Compact"/>
              <w:jc w:val="center"/>
            </w:pPr>
            <w:r>
              <w:rPr>
                <w:b/>
                <w:bCs/>
              </w:rPr>
              <w:t xml:space="preserve">MCI</w:t>
            </w:r>
          </w:p>
        </w:tc>
        <w:tc>
          <w:tcPr/>
          <w:p>
            <w:pPr>
              <w:pStyle w:val="Compact"/>
              <w:jc w:val="center"/>
            </w:pPr>
            <w:r>
              <w:rPr>
                <w:b/>
                <w:bCs/>
              </w:rPr>
              <w:t xml:space="preserve">Normal</w:t>
            </w:r>
          </w:p>
        </w:tc>
        <w:tc>
          <w:tcPr/>
          <w:p>
            <w:pPr>
              <w:pStyle w:val="Compact"/>
              <w:jc w:val="center"/>
            </w:pPr>
            <w:r>
              <w:rPr>
                <w:b/>
                <w:bCs/>
              </w:rPr>
              <w:t xml:space="preserve">Total</w:t>
            </w:r>
          </w:p>
        </w:tc>
      </w:tr>
      <w:tr>
        <w:tc>
          <w:tcPr/>
          <w:p>
            <w:pPr>
              <w:pStyle w:val="Compact"/>
              <w:jc w:val="left"/>
            </w:pPr>
            <w:r>
              <w:t xml:space="preserve">Dementia</w:t>
            </w:r>
          </w:p>
        </w:tc>
        <w:tc>
          <w:tcPr/>
          <w:p>
            <w:pPr>
              <w:pStyle w:val="Compact"/>
              <w:jc w:val="center"/>
            </w:pPr>
            <w:r>
              <w:t xml:space="preserve">3.6</w:t>
            </w:r>
          </w:p>
        </w:tc>
        <w:tc>
          <w:tcPr/>
          <w:p>
            <w:pPr>
              <w:pStyle w:val="Compact"/>
              <w:jc w:val="center"/>
            </w:pPr>
            <w:r>
              <w:t xml:space="preserve">3.8</w:t>
            </w:r>
          </w:p>
        </w:tc>
        <w:tc>
          <w:tcPr/>
          <w:p>
            <w:pPr>
              <w:pStyle w:val="Compact"/>
              <w:jc w:val="center"/>
            </w:pPr>
            <w:r>
              <w:t xml:space="preserve">1.5</w:t>
            </w:r>
          </w:p>
        </w:tc>
        <w:tc>
          <w:tcPr/>
          <w:p>
            <w:pPr>
              <w:pStyle w:val="Compact"/>
              <w:jc w:val="center"/>
            </w:pPr>
            <w:r>
              <w:t xml:space="preserve">9</w:t>
            </w:r>
          </w:p>
        </w:tc>
      </w:tr>
      <w:tr>
        <w:tc>
          <w:tcPr/>
          <w:p>
            <w:pPr>
              <w:pStyle w:val="Compact"/>
              <w:jc w:val="left"/>
            </w:pPr>
            <w:r>
              <w:t xml:space="preserve">MCI</w:t>
            </w:r>
          </w:p>
        </w:tc>
        <w:tc>
          <w:tcPr/>
          <w:p>
            <w:pPr>
              <w:pStyle w:val="Compact"/>
              <w:jc w:val="center"/>
            </w:pPr>
            <w:r>
              <w:t xml:space="preserve">2.1</w:t>
            </w:r>
          </w:p>
        </w:tc>
        <w:tc>
          <w:tcPr/>
          <w:p>
            <w:pPr>
              <w:pStyle w:val="Compact"/>
              <w:jc w:val="center"/>
            </w:pPr>
            <w:r>
              <w:t xml:space="preserve">7.5</w:t>
            </w:r>
          </w:p>
        </w:tc>
        <w:tc>
          <w:tcPr/>
          <w:p>
            <w:pPr>
              <w:pStyle w:val="Compact"/>
              <w:jc w:val="center"/>
            </w:pPr>
            <w:r>
              <w:t xml:space="preserve">7.2</w:t>
            </w:r>
          </w:p>
        </w:tc>
        <w:tc>
          <w:tcPr/>
          <w:p>
            <w:pPr>
              <w:pStyle w:val="Compact"/>
              <w:jc w:val="center"/>
            </w:pPr>
            <w:r>
              <w:t xml:space="preserve">16.8</w:t>
            </w:r>
          </w:p>
        </w:tc>
      </w:tr>
      <w:tr>
        <w:tc>
          <w:tcPr/>
          <w:p>
            <w:pPr>
              <w:pStyle w:val="Compact"/>
              <w:jc w:val="left"/>
            </w:pPr>
            <w:r>
              <w:t xml:space="preserve">Normal</w:t>
            </w:r>
          </w:p>
        </w:tc>
        <w:tc>
          <w:tcPr/>
          <w:p>
            <w:pPr>
              <w:pStyle w:val="Compact"/>
              <w:jc w:val="center"/>
            </w:pPr>
            <w:r>
              <w:t xml:space="preserve">1.2</w:t>
            </w:r>
          </w:p>
        </w:tc>
        <w:tc>
          <w:tcPr/>
          <w:p>
            <w:pPr>
              <w:pStyle w:val="Compact"/>
              <w:jc w:val="center"/>
            </w:pPr>
            <w:r>
              <w:t xml:space="preserve">9.2</w:t>
            </w:r>
          </w:p>
        </w:tc>
        <w:tc>
          <w:tcPr/>
          <w:p>
            <w:pPr>
              <w:pStyle w:val="Compact"/>
              <w:jc w:val="center"/>
            </w:pPr>
            <w:r>
              <w:t xml:space="preserve">63.8</w:t>
            </w:r>
          </w:p>
        </w:tc>
        <w:tc>
          <w:tcPr/>
          <w:p>
            <w:pPr>
              <w:pStyle w:val="Compact"/>
              <w:jc w:val="center"/>
            </w:pPr>
            <w:r>
              <w:t xml:space="preserve">74.2</w:t>
            </w:r>
          </w:p>
        </w:tc>
      </w:tr>
      <w:tr>
        <w:tc>
          <w:tcPr/>
          <w:p>
            <w:pPr>
              <w:pStyle w:val="Compact"/>
              <w:jc w:val="left"/>
            </w:pPr>
            <w:r>
              <w:rPr>
                <w:b/>
                <w:bCs/>
              </w:rPr>
              <w:t xml:space="preserve">Total</w:t>
            </w:r>
          </w:p>
        </w:tc>
        <w:tc>
          <w:tcPr/>
          <w:p>
            <w:pPr>
              <w:pStyle w:val="Compact"/>
              <w:jc w:val="center"/>
            </w:pPr>
            <w:r>
              <w:t xml:space="preserve">6.9</w:t>
            </w:r>
          </w:p>
        </w:tc>
        <w:tc>
          <w:tcPr/>
          <w:p>
            <w:pPr>
              <w:pStyle w:val="Compact"/>
              <w:jc w:val="center"/>
            </w:pPr>
            <w:r>
              <w:t xml:space="preserve">20.5</w:t>
            </w:r>
          </w:p>
        </w:tc>
        <w:tc>
          <w:tcPr/>
          <w:p>
            <w:pPr>
              <w:pStyle w:val="Compact"/>
              <w:jc w:val="center"/>
            </w:pPr>
            <w:r>
              <w:t xml:space="preserve">72.6</w:t>
            </w:r>
          </w:p>
        </w:tc>
        <w:tc>
          <w:tcPr/>
          <w:p>
            <w:pPr>
              <w:pStyle w:val="Compact"/>
              <w:jc w:val="center"/>
            </w:pPr>
            <w:r>
              <w:t xml:space="preserve">100</w:t>
            </w:r>
          </w:p>
        </w:tc>
      </w:tr>
    </w:tbl>
    <w:p>
      <w:pPr>
        <w:pStyle w:val="FootnoteText"/>
      </w:pPr>
      <w:r>
        <w:t xml:space="preserve">Note: cell entries are do not take into account sampling weights.</w:t>
      </w:r>
    </w:p>
    <w:p>
      <w:pPr>
        <w:pStyle w:val="BodyText"/>
      </w:pPr>
      <w:r>
        <w:t xml:space="preserve">The weighted kappa statistic is 0.57, indicating a</w:t>
      </w:r>
      <w:r>
        <w:t xml:space="preserve"> </w:t>
      </w:r>
      <w:r>
        <w:t xml:space="preserve">“fair”</w:t>
      </w:r>
      <w:r>
        <w:t xml:space="preserve"> </w:t>
      </w:r>
      <w:r>
        <w:t xml:space="preserve">level of agreement between the HRS/Core actuarial classification and the HRS Langa-Weir Classification.</w:t>
      </w:r>
    </w:p>
    <w:p>
      <w:pPr>
        <w:pStyle w:val="BodyText"/>
      </w:pPr>
      <w:r>
        <w:t xml:space="preserve">The agreement (unweighted Cohen’s kappa) for dementia vs MCI or Normal is 0.41 indicating a</w:t>
      </w:r>
      <w:r>
        <w:t xml:space="preserve"> </w:t>
      </w:r>
      <w:r>
        <w:t xml:space="preserve">“fair”</w:t>
      </w:r>
      <w:r>
        <w:t xml:space="preserve"> </w:t>
      </w:r>
      <w:r>
        <w:t xml:space="preserve">level of agreement between the HRS/Core actuarial classification and the Langa-Weir classification.</w:t>
      </w:r>
    </w:p>
    <w:p>
      <w:r>
        <w:br w:type="page"/>
      </w:r>
    </w:p>
    <w:p>
      <w:pPr>
        <w:pStyle w:val="BodyText"/>
      </w:pPr>
      <w:r>
        <w:rPr>
          <w:b/>
          <w:bCs/>
        </w:rPr>
        <w:t xml:space="preserve">Table 4. Group Differences in Prevalence of Dementia and Mild Cognitive Impairment (MCI) Among Health and Retirement Study (HRS, 2016, N = 20,912)</w:t>
      </w:r>
    </w:p>
    <w:p>
      <w:r>
        <w:br w:type="page"/>
      </w:r>
    </w:p>
    <w:bookmarkEnd w:id="27"/>
    <w:bookmarkStart w:id="30" w:name="Xb0404d5b9b67124366288f71cb3d06cf9425634"/>
    <w:p>
      <w:pPr>
        <w:pStyle w:val="Heading2"/>
      </w:pPr>
      <w:r>
        <w:t xml:space="preserve">Appendix: Derivation and operationalization of the HRS/Core Actuarial Cognitive Classification</w:t>
      </w:r>
    </w:p>
    <w:bookmarkStart w:id="29" w:name="overview"/>
    <w:p>
      <w:pPr>
        <w:pStyle w:val="Heading3"/>
      </w:pPr>
      <w:r>
        <w:t xml:space="preserve">Overview</w:t>
      </w:r>
    </w:p>
    <w:p>
      <w:pPr>
        <w:pStyle w:val="Compact"/>
        <w:numPr>
          <w:ilvl w:val="0"/>
          <w:numId w:val="1001"/>
        </w:numPr>
      </w:pPr>
      <w:r>
        <w:t xml:space="preserve">Adapted version Jak/Bondi approach to MCI and dementia classification, using cognitive data, informant reports, functional data, and self-reports. Similar to how implemented in HRS/HCAP (Manly et al 2022). Key features include:</w:t>
      </w:r>
    </w:p>
    <w:p>
      <w:pPr>
        <w:pStyle w:val="Compact"/>
        <w:numPr>
          <w:ilvl w:val="1"/>
          <w:numId w:val="1002"/>
        </w:numPr>
      </w:pPr>
      <w:r>
        <w:t xml:space="preserve">Cognitive performance normalized with respect to internal reference group and standardized with respect to demographic factors (age, sex, race, ethnicity, education, and their two-way interactions).</w:t>
      </w:r>
    </w:p>
    <w:p>
      <w:pPr>
        <w:pStyle w:val="Compact"/>
        <w:numPr>
          <w:ilvl w:val="1"/>
          <w:numId w:val="1002"/>
        </w:numPr>
      </w:pPr>
      <w:r>
        <w:t xml:space="preserve">Dementia classification requires cognitive impairment and functional impairment</w:t>
      </w:r>
    </w:p>
    <w:p>
      <w:pPr>
        <w:pStyle w:val="Compact"/>
        <w:numPr>
          <w:ilvl w:val="1"/>
          <w:numId w:val="1002"/>
        </w:numPr>
      </w:pPr>
      <w:r>
        <w:t xml:space="preserve">MCI classification requires cognitive impairment that is either severe but without marked functional impairment, or moderate with functional impairment or self-concerns. Moderate impairment without functional impairment and without self-concerns is considered normal cognition.</w:t>
      </w:r>
    </w:p>
    <w:p>
      <w:pPr>
        <w:pStyle w:val="Compact"/>
        <w:numPr>
          <w:ilvl w:val="0"/>
          <w:numId w:val="1001"/>
        </w:numPr>
      </w:pPr>
      <w:r>
        <w:t xml:space="preserve">Our procedure had the following</w:t>
      </w:r>
      <w:r>
        <w:t xml:space="preserve"> </w:t>
      </w:r>
      <w:r>
        <w:rPr>
          <w:b/>
          <w:bCs/>
          <w:i/>
          <w:iCs/>
        </w:rPr>
        <w:t xml:space="preserve">similarities</w:t>
      </w:r>
      <w:r>
        <w:t xml:space="preserve"> </w:t>
      </w:r>
      <w:r>
        <w:t xml:space="preserve">with respect to Manly et al (2022)</w:t>
      </w:r>
    </w:p>
    <w:p>
      <w:pPr>
        <w:pStyle w:val="Compact"/>
        <w:numPr>
          <w:ilvl w:val="1"/>
          <w:numId w:val="1003"/>
        </w:numPr>
      </w:pPr>
      <w:r>
        <w:t xml:space="preserve">We use a subsample of the HRS/HCAP sample to derive the classification (N=2993), defined as persons who had none of their HRS/HCAP cognitive domains imputed.</w:t>
      </w:r>
    </w:p>
    <w:p>
      <w:pPr>
        <w:pStyle w:val="Compact"/>
        <w:numPr>
          <w:ilvl w:val="1"/>
          <w:numId w:val="1003"/>
        </w:numPr>
      </w:pPr>
      <w:r>
        <w:t xml:space="preserve">We use the same normative reference group as Manly et al (2022) to standardize cognitive performance.</w:t>
      </w:r>
    </w:p>
    <w:p>
      <w:pPr>
        <w:pStyle w:val="Compact"/>
        <w:numPr>
          <w:ilvl w:val="1"/>
          <w:numId w:val="1003"/>
        </w:numPr>
      </w:pPr>
      <w:r>
        <w:t xml:space="preserve">We compare to the same reference standard (consensus diagnoses in N=50 subsample, over sampled of persons with high diagnostic uncertainty).</w:t>
      </w:r>
    </w:p>
    <w:p>
      <w:pPr>
        <w:pStyle w:val="Compact"/>
        <w:numPr>
          <w:ilvl w:val="0"/>
          <w:numId w:val="1001"/>
        </w:numPr>
      </w:pPr>
      <w:r>
        <w:t xml:space="preserve">Our operationalization had the following</w:t>
      </w:r>
      <w:r>
        <w:t xml:space="preserve"> </w:t>
      </w:r>
      <w:r>
        <w:rPr>
          <w:b/>
          <w:bCs/>
          <w:i/>
          <w:iCs/>
        </w:rPr>
        <w:t xml:space="preserve">differences</w:t>
      </w:r>
      <w:r>
        <w:t xml:space="preserve"> </w:t>
      </w:r>
      <w:r>
        <w:t xml:space="preserve">with respect to</w:t>
      </w:r>
    </w:p>
    <w:p>
      <w:pPr>
        <w:pStyle w:val="Compact"/>
        <w:numPr>
          <w:ilvl w:val="1"/>
          <w:numId w:val="1004"/>
        </w:numPr>
      </w:pPr>
      <w:r>
        <w:t xml:space="preserve">Instead of 5 cognitive domains, we measure a single cognitive domain (global cognition) using the cognitive measures available in the Core in the 2016 wave. However, the cognitive impairment thresholds (after normalization and standardization) are selected to match the marginal distributions of impairment categories observed in the HRS/HCAP sample: these end-up being at T-score values of 36.4 and 43.8 , about the 9th and 27th percentiles of the HRS/HCAP sample.</w:t>
      </w:r>
    </w:p>
    <w:p>
      <w:pPr>
        <w:pStyle w:val="Compact"/>
        <w:numPr>
          <w:ilvl w:val="1"/>
          <w:numId w:val="1004"/>
        </w:numPr>
      </w:pPr>
      <w:r>
        <w:t xml:space="preserve">Whereas Manly et al (2022) used the Jorm and Blessed to identify functional impairment, we only had access to the Core HRS ADL/IADL items. We attempted to match marginal distributions of functional impairment, but had little flexibility in choosing thresholds. Our thresholds for impairment are between no ADL/IADL difficulties and any ADL/IADL difficulties, and we still under-identify functional impairment relative to what we were able to identify using the HRS/HCAP measures.</w:t>
      </w:r>
    </w:p>
    <w:p>
      <w:pPr>
        <w:pStyle w:val="Compact"/>
        <w:numPr>
          <w:ilvl w:val="1"/>
          <w:numId w:val="1004"/>
        </w:numPr>
      </w:pPr>
      <w:r>
        <w:t xml:space="preserve">HRS Core does have access to information from the Jorm, but this is only available for those participants that did not participate in the cognitive assessment. We use the Jorm to classify persons who did not participate in the cognitive assessment, but we do not use it to classify persons who did participate in the cognitive assessment (as we do in HRS/HCAP).</w:t>
      </w:r>
    </w:p>
    <w:p>
      <w:pPr>
        <w:pStyle w:val="Compact"/>
        <w:numPr>
          <w:ilvl w:val="1"/>
          <w:numId w:val="1004"/>
        </w:numPr>
      </w:pPr>
      <w:r>
        <w:t xml:space="preserve">We use two self-report items to identify cognitive concerns, PD101 and PD102. In HCAP, we only used PD102. HRS/HCAP only considers self-concerns of worsening (PD102), the Core algorithm also includes self-report of poor functioning.</w:t>
      </w:r>
    </w:p>
    <w:p>
      <w:pPr>
        <w:pStyle w:val="FirstParagraph"/>
      </w:pPr>
      <w:r>
        <w:t xml:space="preserve">The appendix</w:t>
      </w:r>
      <w:r>
        <w:t xml:space="preserve"> </w:t>
      </w:r>
      <w:r>
        <w:rPr>
          <w:b/>
          <w:bCs/>
          <w:i/>
          <w:iCs/>
        </w:rPr>
        <w:t xml:space="preserve">will</w:t>
      </w:r>
      <w:r>
        <w:t xml:space="preserve"> </w:t>
      </w:r>
      <w:r>
        <w:t xml:space="preserve">include details on the specific cognitive variables used, the results of factor analysis, standardization and normalization, threshold identification. This information is currently available</w:t>
      </w:r>
      <w:r>
        <w:t xml:space="preserve"> </w:t>
      </w:r>
      <w:hyperlink r:id="rId28">
        <w:r>
          <w:rPr>
            <w:rStyle w:val="Hyperlink"/>
          </w:rPr>
          <w:t xml:space="preserve">at this link</w:t>
        </w:r>
      </w:hyperlink>
      <w:r>
        <w:t xml:space="preserve">.</w:t>
      </w:r>
    </w:p>
    <w:p>
      <w:r>
        <w:br w:type="page"/>
      </w:r>
    </w:p>
    <w:p>
      <w:pPr>
        <w:pStyle w:val="BodyText"/>
      </w:pPr>
      <w:r>
        <w:t xml:space="preserve">Thanks for reading.</w:t>
      </w:r>
    </w:p>
    <w:bookmarkEnd w:id="29"/>
    <w:bookmarkEnd w:id="30"/>
    <w:sectPr w:rsidR="00C40BC6" w:rsidSect="0022135A">
      <w:footerReference r:id="rId10" w:type="even"/>
      <w:footerReference r:id="rId9" w:type="default"/>
      <w:footnotePr>
        <w:numRestart w:val="eachSect"/>
      </w:footnotePr>
      <w:pgSz w:h="15840" w:w="12226"/>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2FF" w:usb1="400004FF"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Excalifont">
    <w:panose1 w:val="00000000000000000000"/>
    <w:charset w:val="00"/>
    <w:family w:val="auto"/>
    <w:pitch w:val="variable"/>
    <w:sig w:usb0="A00002EF" w:usb1="4000004A"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97213190"/>
      <w:docPartObj>
        <w:docPartGallery w:val="Page Numbers (Bottom of Page)"/>
        <w:docPartUnique/>
      </w:docPartObj>
    </w:sdtPr>
    <w:sdtContent>
      <w:p w14:paraId="04BF0FDE" w14:textId="77777777" w:rsidR="000A2F4C" w:rsidRDefault="000A2F4C" w:rsidP="006F2EB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C0CA5">
          <w:rPr>
            <w:rStyle w:val="PageNumber"/>
            <w:noProof/>
          </w:rPr>
          <w:t>17</w:t>
        </w:r>
        <w:r>
          <w:rPr>
            <w:rStyle w:val="PageNumber"/>
          </w:rPr>
          <w:fldChar w:fldCharType="end"/>
        </w:r>
      </w:p>
    </w:sdtContent>
  </w:sdt>
  <w:p w14:paraId="30D05F10" w14:textId="77777777" w:rsidR="000A2F4C" w:rsidRDefault="000A2F4C" w:rsidP="000A2F4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95854564"/>
      <w:docPartObj>
        <w:docPartGallery w:val="Page Numbers (Bottom of Page)"/>
        <w:docPartUnique/>
      </w:docPartObj>
    </w:sdtPr>
    <w:sdtContent>
      <w:p w14:paraId="3B26B09A" w14:textId="77777777" w:rsidR="000A2F4C" w:rsidRDefault="000A2F4C" w:rsidP="006F2EB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5651E294" w14:textId="77777777" w:rsidR="000A2F4C" w:rsidRDefault="000A2F4C" w:rsidP="000A2F4C">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7A3E2AA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2000072E"/>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2">
    <w:nsid w:val="0000A992"/>
    <w:multiLevelType w:val="multilevel"/>
    <w:tmpl w:val="E744B444"/>
    <w:lvl w:ilvl="0">
      <w:numFmt w:val="bullet"/>
      <w:lvlText w:val="☐"/>
      <w:lvlJc w:val="left"/>
      <w:pPr>
        <w:ind w:hanging="360" w:left="720"/>
      </w:pPr>
    </w:lvl>
    <w:lvl w:ilvl="1">
      <w:numFmt w:val="bullet"/>
      <w:lvlText w:val="☐"/>
      <w:lvlJc w:val="left"/>
      <w:pPr>
        <w:ind w:hanging="360" w:left="1440"/>
      </w:pPr>
    </w:lvl>
    <w:lvl w:ilvl="2">
      <w:numFmt w:val="bullet"/>
      <w:lvlText w:val="☐"/>
      <w:lvlJc w:val="left"/>
      <w:pPr>
        <w:ind w:hanging="360" w:left="2160"/>
      </w:pPr>
    </w:lvl>
    <w:lvl w:ilvl="3">
      <w:numFmt w:val="bullet"/>
      <w:lvlText w:val="☐"/>
      <w:lvlJc w:val="left"/>
      <w:pPr>
        <w:ind w:hanging="360" w:left="2880"/>
      </w:pPr>
    </w:lvl>
    <w:lvl w:ilvl="4">
      <w:numFmt w:val="bullet"/>
      <w:lvlText w:val="☐"/>
      <w:lvlJc w:val="left"/>
      <w:pPr>
        <w:ind w:hanging="360" w:left="3600"/>
      </w:pPr>
    </w:lvl>
    <w:lvl w:ilvl="5">
      <w:numFmt w:val="bullet"/>
      <w:lvlText w:val="☐"/>
      <w:lvlJc w:val="left"/>
      <w:pPr>
        <w:ind w:hanging="360" w:left="4320"/>
      </w:pPr>
    </w:lvl>
    <w:lvl w:ilvl="6">
      <w:numFmt w:val="bullet"/>
      <w:lvlText w:val="☐"/>
      <w:lvlJc w:val="left"/>
      <w:pPr>
        <w:ind w:hanging="360" w:left="5040"/>
      </w:pPr>
    </w:lvl>
    <w:lvl w:ilvl="7">
      <w:numFmt w:val="bullet"/>
      <w:lvlText w:val="☐"/>
      <w:lvlJc w:val="left"/>
      <w:pPr>
        <w:ind w:hanging="360" w:left="5760"/>
      </w:pPr>
    </w:lvl>
    <w:lvl w:ilvl="8">
      <w:numFmt w:val="bullet"/>
      <w:lvlText w:val="☐"/>
      <w:lvlJc w:val="left"/>
      <w:pPr>
        <w:ind w:hanging="360" w:left="6480"/>
      </w:pPr>
    </w:lvl>
  </w:abstractNum>
  <w:abstractNum w15:restartNumberingAfterBreak="0" w:abstractNumId="3">
    <w:nsid w:val="0000A993"/>
    <w:multiLevelType w:val="multilevel"/>
    <w:tmpl w:val="5CC44E4A"/>
    <w:lvl w:ilvl="0">
      <w:numFmt w:val="bullet"/>
      <w:lvlText w:val="☒"/>
      <w:lvlJc w:val="left"/>
      <w:pPr>
        <w:ind w:hanging="360" w:left="720"/>
      </w:pPr>
    </w:lvl>
    <w:lvl w:ilvl="1">
      <w:numFmt w:val="bullet"/>
      <w:lvlText w:val="☒"/>
      <w:lvlJc w:val="left"/>
      <w:pPr>
        <w:ind w:hanging="360" w:left="1440"/>
      </w:pPr>
    </w:lvl>
    <w:lvl w:ilvl="2">
      <w:numFmt w:val="bullet"/>
      <w:lvlText w:val="☒"/>
      <w:lvlJc w:val="left"/>
      <w:pPr>
        <w:ind w:hanging="360" w:left="2160"/>
      </w:pPr>
    </w:lvl>
    <w:lvl w:ilvl="3">
      <w:numFmt w:val="bullet"/>
      <w:lvlText w:val="☒"/>
      <w:lvlJc w:val="left"/>
      <w:pPr>
        <w:ind w:hanging="360" w:left="2880"/>
      </w:pPr>
    </w:lvl>
    <w:lvl w:ilvl="4">
      <w:numFmt w:val="bullet"/>
      <w:lvlText w:val="☒"/>
      <w:lvlJc w:val="left"/>
      <w:pPr>
        <w:ind w:hanging="360" w:left="3600"/>
      </w:pPr>
    </w:lvl>
    <w:lvl w:ilvl="5">
      <w:numFmt w:val="bullet"/>
      <w:lvlText w:val="☒"/>
      <w:lvlJc w:val="left"/>
      <w:pPr>
        <w:ind w:hanging="360" w:left="4320"/>
      </w:pPr>
    </w:lvl>
    <w:lvl w:ilvl="6">
      <w:numFmt w:val="bullet"/>
      <w:lvlText w:val="☒"/>
      <w:lvlJc w:val="left"/>
      <w:pPr>
        <w:ind w:hanging="360" w:left="5040"/>
      </w:pPr>
    </w:lvl>
    <w:lvl w:ilvl="7">
      <w:numFmt w:val="bullet"/>
      <w:lvlText w:val="☒"/>
      <w:lvlJc w:val="left"/>
      <w:pPr>
        <w:ind w:hanging="360" w:left="5760"/>
      </w:pPr>
    </w:lvl>
    <w:lvl w:ilvl="8">
      <w:numFmt w:val="bullet"/>
      <w:lvlText w:val="☒"/>
      <w:lvlJc w:val="left"/>
      <w:pPr>
        <w:ind w:hanging="360" w:left="6480"/>
      </w:pPr>
    </w:lvl>
  </w:abstractNum>
  <w:abstractNum w15:restartNumberingAfterBreak="0" w:abstractNumId="4">
    <w:nsid w:val="00A99411"/>
    <w:multiLevelType w:val="multilevel"/>
    <w:tmpl w:val="92C06408"/>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5">
    <w:nsid w:val="00A99413"/>
    <w:multiLevelType w:val="multilevel"/>
    <w:tmpl w:val="8AEE4DC8"/>
    <w:lvl w:ilvl="0">
      <w:start w:val="3"/>
      <w:numFmt w:val="decimal"/>
      <w:lvlText w:val="%1."/>
      <w:lvlJc w:val="left"/>
      <w:pPr>
        <w:ind w:hanging="360" w:left="720"/>
      </w:pPr>
    </w:lvl>
    <w:lvl w:ilvl="1">
      <w:start w:val="3"/>
      <w:numFmt w:val="decimal"/>
      <w:lvlText w:val="%2."/>
      <w:lvlJc w:val="left"/>
      <w:pPr>
        <w:ind w:hanging="360" w:left="1440"/>
      </w:pPr>
    </w:lvl>
    <w:lvl w:ilvl="2">
      <w:start w:val="3"/>
      <w:numFmt w:val="decimal"/>
      <w:lvlText w:val="%3."/>
      <w:lvlJc w:val="left"/>
      <w:pPr>
        <w:ind w:hanging="360" w:left="2160"/>
      </w:pPr>
    </w:lvl>
    <w:lvl w:ilvl="3">
      <w:start w:val="3"/>
      <w:numFmt w:val="decimal"/>
      <w:lvlText w:val="%4."/>
      <w:lvlJc w:val="left"/>
      <w:pPr>
        <w:ind w:hanging="360" w:left="2880"/>
      </w:pPr>
    </w:lvl>
    <w:lvl w:ilvl="4">
      <w:start w:val="3"/>
      <w:numFmt w:val="decimal"/>
      <w:lvlText w:val="%5."/>
      <w:lvlJc w:val="left"/>
      <w:pPr>
        <w:ind w:hanging="360" w:left="3600"/>
      </w:pPr>
    </w:lvl>
    <w:lvl w:ilvl="5">
      <w:start w:val="3"/>
      <w:numFmt w:val="decimal"/>
      <w:lvlText w:val="%6."/>
      <w:lvlJc w:val="left"/>
      <w:pPr>
        <w:ind w:hanging="360" w:left="4320"/>
      </w:pPr>
    </w:lvl>
    <w:lvl w:ilvl="6">
      <w:start w:val="3"/>
      <w:numFmt w:val="decimal"/>
      <w:lvlText w:val="%7."/>
      <w:lvlJc w:val="left"/>
      <w:pPr>
        <w:ind w:hanging="360" w:left="5040"/>
      </w:pPr>
    </w:lvl>
    <w:lvl w:ilvl="7">
      <w:start w:val="3"/>
      <w:numFmt w:val="decimal"/>
      <w:lvlText w:val="%8."/>
      <w:lvlJc w:val="left"/>
      <w:pPr>
        <w:ind w:hanging="360" w:left="5760"/>
      </w:pPr>
    </w:lvl>
    <w:lvl w:ilvl="8">
      <w:start w:val="3"/>
      <w:numFmt w:val="decimal"/>
      <w:lvlText w:val="%9."/>
      <w:lvlJc w:val="left"/>
      <w:pPr>
        <w:ind w:hanging="360" w:left="6480"/>
      </w:pPr>
    </w:lvl>
  </w:abstractNum>
  <w:abstractNum w15:restartNumberingAfterBreak="0" w:abstractNumId="6">
    <w:nsid w:val="00A99431"/>
    <w:multiLevelType w:val="multilevel"/>
    <w:tmpl w:val="EFE844F6"/>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7">
    <w:nsid w:val="00A99432"/>
    <w:multiLevelType w:val="multilevel"/>
    <w:tmpl w:val="43C0A5AA"/>
    <w:lvl w:ilvl="0">
      <w:start w:val="2"/>
      <w:numFmt w:val="decimal"/>
      <w:lvlText w:val="(%1)"/>
      <w:lvlJc w:val="left"/>
      <w:pPr>
        <w:ind w:hanging="360" w:left="720"/>
      </w:pPr>
    </w:lvl>
    <w:lvl w:ilvl="1">
      <w:start w:val="2"/>
      <w:numFmt w:val="decimal"/>
      <w:lvlText w:val="(%2)"/>
      <w:lvlJc w:val="left"/>
      <w:pPr>
        <w:ind w:hanging="360" w:left="1440"/>
      </w:pPr>
    </w:lvl>
    <w:lvl w:ilvl="2">
      <w:start w:val="2"/>
      <w:numFmt w:val="decimal"/>
      <w:lvlText w:val="(%3)"/>
      <w:lvlJc w:val="left"/>
      <w:pPr>
        <w:ind w:hanging="360" w:left="2160"/>
      </w:pPr>
    </w:lvl>
    <w:lvl w:ilvl="3">
      <w:start w:val="2"/>
      <w:numFmt w:val="decimal"/>
      <w:lvlText w:val="(%4)"/>
      <w:lvlJc w:val="left"/>
      <w:pPr>
        <w:ind w:hanging="360" w:left="2880"/>
      </w:pPr>
    </w:lvl>
    <w:lvl w:ilvl="4">
      <w:start w:val="2"/>
      <w:numFmt w:val="decimal"/>
      <w:lvlText w:val="(%5)"/>
      <w:lvlJc w:val="left"/>
      <w:pPr>
        <w:ind w:hanging="360" w:left="3600"/>
      </w:pPr>
    </w:lvl>
    <w:lvl w:ilvl="5">
      <w:start w:val="2"/>
      <w:numFmt w:val="decimal"/>
      <w:lvlText w:val="(%6)"/>
      <w:lvlJc w:val="left"/>
      <w:pPr>
        <w:ind w:hanging="360" w:left="4320"/>
      </w:pPr>
    </w:lvl>
    <w:lvl w:ilvl="6">
      <w:start w:val="2"/>
      <w:numFmt w:val="decimal"/>
      <w:lvlText w:val="(%7)"/>
      <w:lvlJc w:val="left"/>
      <w:pPr>
        <w:ind w:hanging="360" w:left="5040"/>
      </w:pPr>
    </w:lvl>
    <w:lvl w:ilvl="7">
      <w:start w:val="2"/>
      <w:numFmt w:val="decimal"/>
      <w:lvlText w:val="(%8)"/>
      <w:lvlJc w:val="left"/>
      <w:pPr>
        <w:ind w:hanging="360" w:left="5760"/>
      </w:pPr>
    </w:lvl>
    <w:lvl w:ilvl="8">
      <w:start w:val="2"/>
      <w:numFmt w:val="decimal"/>
      <w:lvlText w:val="(%9)"/>
      <w:lvlJc w:val="left"/>
      <w:pPr>
        <w:ind w:hanging="360" w:left="6480"/>
      </w:pPr>
    </w:lvl>
  </w:abstractNum>
  <w:abstractNum w15:restartNumberingAfterBreak="0" w:abstractNumId="8">
    <w:nsid w:val="0A994112"/>
    <w:multiLevelType w:val="multilevel"/>
    <w:tmpl w:val="4D3C5DEC"/>
    <w:lvl w:ilvl="0">
      <w:start w:val="12"/>
      <w:numFmt w:val="decimal"/>
      <w:lvlText w:val="%1."/>
      <w:lvlJc w:val="left"/>
      <w:pPr>
        <w:ind w:hanging="360" w:left="720"/>
      </w:pPr>
    </w:lvl>
    <w:lvl w:ilvl="1">
      <w:start w:val="12"/>
      <w:numFmt w:val="decimal"/>
      <w:lvlText w:val="%2."/>
      <w:lvlJc w:val="left"/>
      <w:pPr>
        <w:ind w:hanging="360" w:left="1440"/>
      </w:pPr>
    </w:lvl>
    <w:lvl w:ilvl="2">
      <w:start w:val="12"/>
      <w:numFmt w:val="decimal"/>
      <w:lvlText w:val="%3."/>
      <w:lvlJc w:val="left"/>
      <w:pPr>
        <w:ind w:hanging="360" w:left="2160"/>
      </w:pPr>
    </w:lvl>
    <w:lvl w:ilvl="3">
      <w:start w:val="12"/>
      <w:numFmt w:val="decimal"/>
      <w:lvlText w:val="%4."/>
      <w:lvlJc w:val="left"/>
      <w:pPr>
        <w:ind w:hanging="360" w:left="2880"/>
      </w:pPr>
    </w:lvl>
    <w:lvl w:ilvl="4">
      <w:start w:val="12"/>
      <w:numFmt w:val="decimal"/>
      <w:lvlText w:val="%5."/>
      <w:lvlJc w:val="left"/>
      <w:pPr>
        <w:ind w:hanging="360" w:left="3600"/>
      </w:pPr>
    </w:lvl>
    <w:lvl w:ilvl="5">
      <w:start w:val="12"/>
      <w:numFmt w:val="decimal"/>
      <w:lvlText w:val="%6."/>
      <w:lvlJc w:val="left"/>
      <w:pPr>
        <w:ind w:hanging="360" w:left="4320"/>
      </w:pPr>
    </w:lvl>
    <w:lvl w:ilvl="6">
      <w:start w:val="12"/>
      <w:numFmt w:val="decimal"/>
      <w:lvlText w:val="%7."/>
      <w:lvlJc w:val="left"/>
      <w:pPr>
        <w:ind w:hanging="360" w:left="5040"/>
      </w:pPr>
    </w:lvl>
    <w:lvl w:ilvl="7">
      <w:start w:val="12"/>
      <w:numFmt w:val="decimal"/>
      <w:lvlText w:val="%8."/>
      <w:lvlJc w:val="left"/>
      <w:pPr>
        <w:ind w:hanging="360" w:left="5760"/>
      </w:pPr>
    </w:lvl>
    <w:lvl w:ilvl="8">
      <w:start w:val="12"/>
      <w:numFmt w:val="decimal"/>
      <w:lvlText w:val="%9."/>
      <w:lvlJc w:val="left"/>
      <w:pPr>
        <w:ind w:hanging="36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344018338" w:numId="1">
    <w:abstractNumId w:val="0"/>
  </w:num>
  <w:num w16cid:durableId="1024474867" w:numId="2">
    <w:abstractNumId w:val="0"/>
  </w:num>
  <w:num w16cid:durableId="1821068856" w:numId="3">
    <w:abstractNumId w:val="0"/>
  </w:num>
  <w:num w16cid:durableId="1841239034" w:numId="4">
    <w:abstractNumId w:val="0"/>
  </w:num>
  <w:num w16cid:durableId="1318268425" w:numId="5">
    <w:abstractNumId w:val="0"/>
  </w:num>
  <w:num w16cid:durableId="1914272285" w:numId="6">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16cid:durableId="1110927732" w:numId="7">
    <w:abstractNumId w:val="0"/>
  </w:num>
  <w:num w16cid:durableId="1072314727"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99708799"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190334530"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382097039" w:numId="11">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16cid:durableId="1279096492" w:numId="12">
    <w:abstractNumId w:val="0"/>
  </w:num>
  <w:num w16cid:durableId="28840783"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237441279"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215242778"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383330291" w:numId="16">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16cid:durableId="1076173512" w:numId="17">
    <w:abstractNumId w:val="0"/>
  </w:num>
  <w:num w16cid:durableId="1315528437"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29399532"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19368092"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2310" w:numId="21">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16cid:durableId="1568034589" w:numId="22">
    <w:abstractNumId w:val="8"/>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440539238" w:numId="23">
    <w:abstractNumId w:val="0"/>
  </w:num>
  <w:num w16cid:durableId="1130173126"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751195703"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430396052"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336687767" w:numId="27">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16cid:durableId="1527910060" w:numId="28">
    <w:abstractNumId w:val="8"/>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107118144" w:numId="29">
    <w:abstractNumId w:val="1"/>
  </w:num>
  <w:num w16cid:durableId="1628465435" w:numId="30">
    <w:abstractNumId w:val="1"/>
  </w:num>
  <w:num w16cid:durableId="482435029" w:numId="31">
    <w:abstractNumId w:val="1"/>
  </w:num>
  <w:num w16cid:durableId="1079213015" w:numId="32">
    <w:abstractNumId w:val="1"/>
  </w:num>
  <w:num w16cid:durableId="9572067" w:numId="33">
    <w:abstractNumId w:val="1"/>
  </w:num>
  <w:num w16cid:durableId="82843433" w:numId="34">
    <w:abstractNumId w:val="1"/>
  </w:num>
  <w:num w16cid:durableId="1988119988" w:numId="35">
    <w:abstractNumId w:val="1"/>
  </w:num>
  <w:num w16cid:durableId="1269964266" w:numId="36">
    <w:abstractNumId w:val="1"/>
  </w:num>
  <w:num w16cid:durableId="1571383915" w:numId="37">
    <w:abstractNumId w:val="1"/>
  </w:num>
  <w:num w16cid:durableId="1805462119" w:numId="38">
    <w:abstractNumId w:val="1"/>
  </w:num>
  <w:num w16cid:durableId="744839888" w:numId="39">
    <w:abstractNumId w:val="1"/>
  </w:num>
  <w:num w16cid:durableId="1139298157" w:numId="40">
    <w:abstractNumId w:val="1"/>
  </w:num>
  <w:num w16cid:durableId="400755359" w:numId="41">
    <w:abstractNumId w:val="1"/>
  </w:num>
  <w:num w16cid:durableId="1533882625" w:numId="42">
    <w:abstractNumId w:val="1"/>
  </w:num>
  <w:num w16cid:durableId="1251543687" w:numId="43">
    <w:abstractNumId w:val="1"/>
  </w:num>
  <w:num w16cid:durableId="1642727442" w:numId="44">
    <w:abstractNumId w:val="1"/>
  </w:num>
  <w:num w16cid:durableId="122120297" w:numId="45">
    <w:abstractNumId w:val="1"/>
  </w:num>
  <w:num w16cid:durableId="1036275928" w:numId="46">
    <w:abstractNumId w:val="1"/>
  </w:num>
  <w:num w16cid:durableId="379550650" w:numId="47">
    <w:abstractNumId w:val="1"/>
  </w:num>
  <w:num w16cid:durableId="255014883" w:numId="48">
    <w:abstractNumId w:val="1"/>
  </w:num>
  <w:num w16cid:durableId="1907720116" w:numId="49">
    <w:abstractNumId w:val="1"/>
  </w:num>
  <w:num w16cid:durableId="1675379621" w:numId="50">
    <w:abstractNumId w:val="1"/>
  </w:num>
  <w:num w16cid:durableId="90663044" w:numId="51">
    <w:abstractNumId w:val="1"/>
  </w:num>
  <w:num w16cid:durableId="392777206" w:numId="52">
    <w:abstractNumId w:val="1"/>
  </w:num>
  <w:num w16cid:durableId="543949429" w:numId="53">
    <w:abstractNumId w:val="1"/>
  </w:num>
  <w:num w16cid:durableId="2117406600" w:numId="54">
    <w:abstractNumId w:val="1"/>
  </w:num>
  <w:num w16cid:durableId="1106773433" w:numId="55">
    <w:abstractNumId w:val="1"/>
  </w:num>
  <w:num w16cid:durableId="1282685008" w:numId="56">
    <w:abstractNumId w:val="1"/>
  </w:num>
  <w:num w16cid:durableId="893586691" w:numId="57">
    <w:abstractNumId w:val="1"/>
  </w:num>
  <w:num w16cid:durableId="275142140" w:numId="58">
    <w:abstractNumId w:val="1"/>
  </w:num>
  <w:num w16cid:durableId="1584605391" w:numId="5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392508216" w:numId="60">
    <w:abstractNumId w:val="1"/>
  </w:num>
  <w:num w16cid:durableId="663508703" w:numId="61">
    <w:abstractNumId w:val="1"/>
  </w:num>
  <w:num w16cid:durableId="1549102801" w:numId="62">
    <w:abstractNumId w:val="1"/>
  </w:num>
  <w:num w16cid:durableId="1276644015" w:numId="63">
    <w:abstractNumId w:val="0"/>
  </w:num>
  <w:num w16cid:durableId="1833984462" w:numId="6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516384784" w:numId="6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326372480" w:numId="6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358969755" w:numId="67">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16cid:durableId="710880122" w:numId="68">
    <w:abstractNumId w:val="8"/>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572159916" w:numId="69">
    <w:abstractNumId w:val="1"/>
  </w:num>
  <w:num w16cid:durableId="1347436790" w:numId="70">
    <w:abstractNumId w:val="1"/>
  </w:num>
  <w:num w16cid:durableId="29574760" w:numId="71">
    <w:abstractNumId w:val="1"/>
  </w:num>
  <w:num w16cid:durableId="1157571814" w:numId="72">
    <w:abstractNumId w:val="1"/>
  </w:num>
  <w:num w16cid:durableId="576549590" w:numId="73">
    <w:abstractNumId w:val="1"/>
  </w:num>
  <w:num w16cid:durableId="1167742228" w:numId="74">
    <w:abstractNumId w:val="1"/>
  </w:num>
  <w:num w16cid:durableId="871040895" w:numId="75">
    <w:abstractNumId w:val="1"/>
  </w:num>
  <w:num w16cid:durableId="958074510" w:numId="76">
    <w:abstractNumId w:val="1"/>
  </w:num>
  <w:num w16cid:durableId="694230980" w:numId="77">
    <w:abstractNumId w:val="1"/>
  </w:num>
  <w:num w16cid:durableId="1847592569" w:numId="78">
    <w:abstractNumId w:val="1"/>
  </w:num>
  <w:num w16cid:durableId="456723221" w:numId="79">
    <w:abstractNumId w:val="1"/>
  </w:num>
  <w:num w16cid:durableId="644237735" w:numId="80">
    <w:abstractNumId w:val="1"/>
  </w:num>
  <w:num w16cid:durableId="920873679" w:numId="81">
    <w:abstractNumId w:val="1"/>
  </w:num>
  <w:num w16cid:durableId="1519201178" w:numId="82">
    <w:abstractNumId w:val="1"/>
  </w:num>
  <w:num w16cid:durableId="1158231889" w:numId="83">
    <w:abstractNumId w:val="1"/>
  </w:num>
  <w:num w16cid:durableId="1715496627" w:numId="84">
    <w:abstractNumId w:val="1"/>
  </w:num>
  <w:num w16cid:durableId="1818525439" w:numId="85">
    <w:abstractNumId w:val="1"/>
  </w:num>
  <w:num w16cid:durableId="1013149780" w:numId="86">
    <w:abstractNumId w:val="1"/>
  </w:num>
  <w:num w16cid:durableId="2102018505" w:numId="87">
    <w:abstractNumId w:val="1"/>
  </w:num>
  <w:num w16cid:durableId="8879091" w:numId="88">
    <w:abstractNumId w:val="1"/>
  </w:num>
  <w:num w16cid:durableId="1890797373" w:numId="89">
    <w:abstractNumId w:val="1"/>
  </w:num>
  <w:num w16cid:durableId="1519078647" w:numId="90">
    <w:abstractNumId w:val="1"/>
  </w:num>
  <w:num w16cid:durableId="1449855339" w:numId="91">
    <w:abstractNumId w:val="1"/>
  </w:num>
  <w:num w16cid:durableId="1660617623" w:numId="92">
    <w:abstractNumId w:val="1"/>
  </w:num>
  <w:num w16cid:durableId="1602373185" w:numId="9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2079937500" w:numId="94">
    <w:abstractNumId w:val="1"/>
  </w:num>
  <w:num w16cid:durableId="500006081" w:numId="95">
    <w:abstractNumId w:val="1"/>
  </w:num>
  <w:num w16cid:durableId="124616673" w:numId="96">
    <w:abstractNumId w:val="1"/>
  </w:num>
  <w:num w16cid:durableId="216286215" w:numId="97">
    <w:abstractNumId w:val="0"/>
  </w:num>
  <w:num w16cid:durableId="1117874252" w:numId="9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4324272" w:numId="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721514483" w:numId="10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258364107" w:numId="101">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16cid:durableId="82997949" w:numId="102">
    <w:abstractNumId w:val="8"/>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1826236121" w:numId="103">
    <w:abstractNumId w:val="1"/>
  </w:num>
  <w:num w16cid:durableId="2005353356" w:numId="104">
    <w:abstractNumId w:val="1"/>
  </w:num>
  <w:num w16cid:durableId="671839767" w:numId="105">
    <w:abstractNumId w:val="1"/>
  </w:num>
  <w:num w16cid:durableId="1520120853" w:numId="106">
    <w:abstractNumId w:val="1"/>
  </w:num>
  <w:num w16cid:durableId="1851990133" w:numId="107">
    <w:abstractNumId w:val="1"/>
  </w:num>
  <w:num w16cid:durableId="1709797604" w:numId="108">
    <w:abstractNumId w:val="1"/>
  </w:num>
  <w:num w16cid:durableId="656959874" w:numId="109">
    <w:abstractNumId w:val="1"/>
  </w:num>
  <w:num w16cid:durableId="1791512539" w:numId="110">
    <w:abstractNumId w:val="1"/>
  </w:num>
  <w:num w16cid:durableId="58023709" w:numId="111">
    <w:abstractNumId w:val="1"/>
  </w:num>
  <w:num w16cid:durableId="1782869454" w:numId="112">
    <w:abstractNumId w:val="1"/>
  </w:num>
  <w:num w16cid:durableId="2065058238" w:numId="113">
    <w:abstractNumId w:val="1"/>
  </w:num>
  <w:num w16cid:durableId="1845589146" w:numId="114">
    <w:abstractNumId w:val="1"/>
  </w:num>
  <w:num w16cid:durableId="1059481658" w:numId="115">
    <w:abstractNumId w:val="1"/>
  </w:num>
  <w:num w16cid:durableId="569968608" w:numId="116">
    <w:abstractNumId w:val="1"/>
  </w:num>
  <w:num w16cid:durableId="211385319" w:numId="117">
    <w:abstractNumId w:val="1"/>
  </w:num>
  <w:num w16cid:durableId="782115049" w:numId="118">
    <w:abstractNumId w:val="1"/>
  </w:num>
  <w:num w16cid:durableId="617301252" w:numId="119">
    <w:abstractNumId w:val="1"/>
  </w:num>
  <w:num w16cid:durableId="421411944" w:numId="120">
    <w:abstractNumId w:val="1"/>
  </w:num>
  <w:num w16cid:durableId="1312521414" w:numId="121">
    <w:abstractNumId w:val="1"/>
  </w:num>
  <w:num w16cid:durableId="632249805" w:numId="122">
    <w:abstractNumId w:val="1"/>
  </w:num>
  <w:num w16cid:durableId="1510100257" w:numId="123">
    <w:abstractNumId w:val="1"/>
  </w:num>
  <w:num w16cid:durableId="2094819277" w:numId="124">
    <w:abstractNumId w:val="1"/>
  </w:num>
  <w:num w16cid:durableId="1135296914" w:numId="125">
    <w:abstractNumId w:val="1"/>
  </w:num>
  <w:num w16cid:durableId="421725611" w:numId="126">
    <w:abstractNumId w:val="1"/>
  </w:num>
  <w:num w16cid:durableId="1891263306" w:numId="1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34420946" w:numId="128">
    <w:abstractNumId w:val="1"/>
  </w:num>
  <w:num w16cid:durableId="627317515" w:numId="129">
    <w:abstractNumId w:val="1"/>
  </w:num>
  <w:num w16cid:durableId="1297180586" w:numId="130">
    <w:abstractNumId w:val="1"/>
  </w:num>
  <w:num w16cid:durableId="1677878497" w:numId="131">
    <w:abstractNumId w:val="0"/>
  </w:num>
  <w:num w16cid:durableId="1922519157" w:numId="132">
    <w:abstractNumId w:val="0"/>
  </w:num>
  <w:num w16cid:durableId="1706833427" w:numId="133">
    <w:abstractNumId w:val="0"/>
  </w:num>
  <w:num w16cid:durableId="1040282804" w:numId="134">
    <w:abstractNumId w:val="0"/>
  </w:num>
  <w:num w16cid:durableId="786238987" w:numId="135">
    <w:abstractNumId w:val="0"/>
  </w:num>
  <w:num w16cid:durableId="1878010800" w:numId="136">
    <w:abstractNumId w:val="1"/>
  </w:num>
  <w:num w16cid:durableId="323507349" w:numId="137">
    <w:abstractNumId w:val="1"/>
  </w:num>
  <w:num w16cid:durableId="433288858" w:numId="138">
    <w:abstractNumId w:val="0"/>
  </w:num>
  <w:num w16cid:durableId="95172811" w:numId="139">
    <w:abstractNumId w:val="1"/>
  </w:num>
  <w:num w16cid:durableId="1477063461" w:numId="140">
    <w:abstractNumId w:val="1"/>
  </w:num>
  <w:num w16cid:durableId="1835486152" w:numId="141">
    <w:abstractNumId w:val="1"/>
  </w:num>
  <w:num w16cid:durableId="335806995" w:numId="142">
    <w:abstractNumId w:val="3"/>
  </w:num>
  <w:num w16cid:durableId="1824420919" w:numId="143">
    <w:abstractNumId w:val="3"/>
  </w:num>
  <w:num w16cid:durableId="850486725" w:numId="144">
    <w:abstractNumId w:val="3"/>
  </w:num>
  <w:num w16cid:durableId="443887692" w:numId="145">
    <w:abstractNumId w:val="2"/>
  </w:num>
  <w:num w16cid:durableId="1804149749" w:numId="146">
    <w:abstractNumId w:val="2"/>
  </w:num>
  <w:num w16cid:durableId="1494368282" w:numId="147">
    <w:abstractNumId w:val="1"/>
  </w:num>
  <w:num w16cid:durableId="1914658397" w:numId="148">
    <w:abstractNumId w:val="0"/>
  </w:num>
  <w:num w16cid:durableId="2017995733" w:numId="149">
    <w:abstractNumId w:val="1"/>
  </w:num>
  <w:num w16cid:durableId="30427042" w:numId="150">
    <w:abstractNumId w:val="1"/>
  </w:num>
  <w:num w16cid:durableId="1870337741" w:numId="151">
    <w:abstractNumId w:val="1"/>
  </w:num>
  <w:num w16cid:durableId="799107808" w:numId="152">
    <w:abstractNumId w:val="3"/>
  </w:num>
  <w:num w16cid:durableId="1445340804" w:numId="153">
    <w:abstractNumId w:val="3"/>
  </w:num>
  <w:num w16cid:durableId="1722048327" w:numId="154">
    <w:abstractNumId w:val="3"/>
  </w:num>
  <w:num w16cid:durableId="322244760" w:numId="155">
    <w:abstractNumId w:val="2"/>
  </w:num>
  <w:num w16cid:durableId="1666082062" w:numId="156">
    <w:abstractNumId w:val="2"/>
  </w:num>
  <w:num w16cid:durableId="210115313" w:numId="157">
    <w:abstractNumId w:val="1"/>
  </w:num>
  <w:num w16cid:durableId="149029440" w:numId="158">
    <w:abstractNumId w:val="1"/>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779"/>
    <w:rsid w:val="000175B8"/>
    <w:rsid w:val="00052946"/>
    <w:rsid w:val="00062841"/>
    <w:rsid w:val="00070816"/>
    <w:rsid w:val="000806D9"/>
    <w:rsid w:val="000A2F4C"/>
    <w:rsid w:val="00164779"/>
    <w:rsid w:val="00174551"/>
    <w:rsid w:val="001A60D4"/>
    <w:rsid w:val="001A74EC"/>
    <w:rsid w:val="001D057A"/>
    <w:rsid w:val="00204171"/>
    <w:rsid w:val="0022135A"/>
    <w:rsid w:val="002C0CA5"/>
    <w:rsid w:val="00343615"/>
    <w:rsid w:val="00345EFC"/>
    <w:rsid w:val="003A2534"/>
    <w:rsid w:val="003C5FF7"/>
    <w:rsid w:val="003F0341"/>
    <w:rsid w:val="00404A5E"/>
    <w:rsid w:val="004A0376"/>
    <w:rsid w:val="00504587"/>
    <w:rsid w:val="005407A2"/>
    <w:rsid w:val="005B159D"/>
    <w:rsid w:val="005C4B6A"/>
    <w:rsid w:val="00655B5B"/>
    <w:rsid w:val="00672CA5"/>
    <w:rsid w:val="006B5F35"/>
    <w:rsid w:val="006F2495"/>
    <w:rsid w:val="00723F3A"/>
    <w:rsid w:val="007467E2"/>
    <w:rsid w:val="00771CCD"/>
    <w:rsid w:val="007B3BDF"/>
    <w:rsid w:val="007B5AAF"/>
    <w:rsid w:val="00833580"/>
    <w:rsid w:val="00836787"/>
    <w:rsid w:val="00876643"/>
    <w:rsid w:val="00894F2D"/>
    <w:rsid w:val="008A0860"/>
    <w:rsid w:val="008E2468"/>
    <w:rsid w:val="00913886"/>
    <w:rsid w:val="009B3B25"/>
    <w:rsid w:val="00A2491C"/>
    <w:rsid w:val="00A57EDB"/>
    <w:rsid w:val="00AB74C3"/>
    <w:rsid w:val="00B3078F"/>
    <w:rsid w:val="00BB5205"/>
    <w:rsid w:val="00BC2916"/>
    <w:rsid w:val="00BD31A9"/>
    <w:rsid w:val="00BE0BEF"/>
    <w:rsid w:val="00BE4973"/>
    <w:rsid w:val="00C40BC6"/>
    <w:rsid w:val="00C670B0"/>
    <w:rsid w:val="00C752C3"/>
    <w:rsid w:val="00C97BA2"/>
    <w:rsid w:val="00CB1237"/>
    <w:rsid w:val="00D4330D"/>
    <w:rsid w:val="00DC018E"/>
    <w:rsid w:val="00E02815"/>
    <w:rsid w:val="00E322EE"/>
    <w:rsid w:val="00E37E32"/>
    <w:rsid w:val="00E615C3"/>
    <w:rsid w:val="00E70321"/>
    <w:rsid w:val="00E8579C"/>
    <w:rsid w:val="00F1108D"/>
    <w:rsid w:val="00F30F7D"/>
    <w:rsid w:val="00F335D0"/>
    <w:rsid w:val="00F45246"/>
    <w:rsid w:val="00F84592"/>
    <w:rsid w:val="00FB3D69"/>
    <w:rsid w:val="00FB559B"/>
    <w:rsid w:val="00FE0AB1"/>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1108D"/>
    <w:pPr>
      <w:spacing w:after="100" w:before="100"/>
    </w:pPr>
    <w:rPr>
      <w:rFonts w:ascii="Cambria" w:hAnsi="Cambria"/>
      <w:sz w:val="22"/>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57EDB"/>
    <w:pPr>
      <w:keepNext/>
      <w:keepLines/>
      <w:spacing w:after="80" w:before="160"/>
      <w:outlineLvl w:val="1"/>
    </w:pPr>
    <w:rPr>
      <w:rFonts w:cstheme="majorBidi" w:eastAsiaTheme="majorEastAsia"/>
      <w:b/>
      <w:szCs w:val="32"/>
    </w:rPr>
  </w:style>
  <w:style w:styleId="Heading3" w:type="paragraph">
    <w:name w:val="heading 3"/>
    <w:basedOn w:val="Normal"/>
    <w:next w:val="BodyText"/>
    <w:link w:val="Heading3Char"/>
    <w:uiPriority w:val="9"/>
    <w:semiHidden/>
    <w:unhideWhenUsed/>
    <w:qFormat/>
    <w:rsid w:val="007467E2"/>
    <w:pPr>
      <w:keepNext/>
      <w:keepLines/>
      <w:spacing w:after="80" w:before="160"/>
      <w:outlineLvl w:val="2"/>
    </w:pPr>
    <w:rPr>
      <w:rFonts w:cstheme="majorBidi" w:eastAsiaTheme="majorEastAsia"/>
      <w:b/>
      <w:szCs w:val="28"/>
    </w:rPr>
  </w:style>
  <w:style w:styleId="Heading4" w:type="paragraph">
    <w:name w:val="heading 4"/>
    <w:basedOn w:val="Normal"/>
    <w:next w:val="BodyText"/>
    <w:link w:val="Heading4Char"/>
    <w:uiPriority w:val="9"/>
    <w:semiHidden/>
    <w:unhideWhenUsed/>
    <w:qFormat/>
    <w:rsid w:val="00504587"/>
    <w:pPr>
      <w:keepNext/>
      <w:keepLines/>
      <w:spacing w:after="40" w:before="220"/>
      <w:outlineLvl w:val="3"/>
    </w:pPr>
    <w:rPr>
      <w:rFonts w:cstheme="majorBidi" w:eastAsiaTheme="majorEastAsia"/>
      <w:iCs/>
      <w:u w:val="single"/>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rsid w:val="00AB74C3"/>
    <w:pPr>
      <w:spacing w:after="0" w:before="0"/>
    </w:pPr>
    <w:rPr>
      <w:sz w:val="16"/>
    </w:rPr>
  </w:style>
  <w:style w:styleId="Title" w:type="paragraph">
    <w:name w:val="Title"/>
    <w:basedOn w:val="Normal"/>
    <w:next w:val="BodyText"/>
    <w:link w:val="TitleChar"/>
    <w:uiPriority w:val="10"/>
    <w:qFormat/>
    <w:rsid w:val="0022135A"/>
    <w:pPr>
      <w:spacing w:after="80" w:line="360" w:lineRule="auto"/>
      <w:contextualSpacing/>
      <w:jc w:val="center"/>
    </w:pPr>
    <w:rPr>
      <w:rFonts w:cstheme="majorBidi" w:eastAsiaTheme="majorEastAsia"/>
      <w:b/>
      <w:sz w:val="28"/>
      <w:szCs w:val="56"/>
    </w:rPr>
  </w:style>
  <w:style w:customStyle="1" w:styleId="TitleChar" w:type="character">
    <w:name w:val="Title Char"/>
    <w:basedOn w:val="DefaultParagraphFont"/>
    <w:link w:val="Title"/>
    <w:uiPriority w:val="10"/>
    <w:rsid w:val="0022135A"/>
    <w:rPr>
      <w:rFonts w:ascii="Cambria" w:cstheme="majorBidi" w:eastAsiaTheme="majorEastAsia" w:hAnsi="Cambria"/>
      <w:b/>
      <w:sz w:val="28"/>
      <w:szCs w:val="56"/>
    </w:rPr>
  </w:style>
  <w:style w:styleId="Subtitle" w:type="paragraph">
    <w:name w:val="Subtitle"/>
    <w:basedOn w:val="Title"/>
    <w:next w:val="BodyText"/>
    <w:link w:val="SubtitleChar"/>
    <w:uiPriority w:val="11"/>
    <w:qFormat/>
    <w:rsid w:val="00A10FD9"/>
    <w:pPr>
      <w:numPr>
        <w:ilvl w:val="1"/>
      </w:numPr>
    </w:pPr>
    <w:rPr>
      <w:spacing w:val="15"/>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rsid w:val="003A2534"/>
    <w:pPr>
      <w:keepNext/>
      <w:keepLines/>
    </w:pPr>
    <w:rPr>
      <w:b w:val="0"/>
      <w:sz w:val="22"/>
      <w:szCs w:val="24"/>
    </w:rPr>
  </w:style>
  <w:style w:styleId="Date" w:type="paragraph">
    <w:name w:val="Date"/>
    <w:basedOn w:val="Title"/>
    <w:next w:val="BodyText"/>
    <w:qFormat/>
    <w:rsid w:val="000175B8"/>
    <w:pPr>
      <w:keepNext/>
      <w:keepLines/>
    </w:pPr>
    <w:rPr>
      <w:b w:val="0"/>
      <w:sz w:val="22"/>
      <w:szCs w:val="24"/>
    </w:rPr>
  </w:style>
  <w:style w:customStyle="1" w:styleId="AbstractTitle" w:type="paragraph">
    <w:name w:val="Abstract Title"/>
    <w:basedOn w:val="Normal"/>
    <w:next w:val="Abstract"/>
    <w:qFormat/>
    <w:rsid w:val="001D057A"/>
    <w:pPr>
      <w:keepNext/>
      <w:keepLines/>
      <w:spacing w:after="0"/>
      <w:jc w:val="center"/>
    </w:pPr>
    <w:rPr>
      <w:b/>
      <w:color w:themeColor="background1" w:val="FFFFFF"/>
      <w:sz w:val="8"/>
      <w:szCs w:val="20"/>
    </w:rPr>
  </w:style>
  <w:style w:customStyle="1" w:styleId="Abstract" w:type="paragraph">
    <w:name w:val="Abstract"/>
    <w:basedOn w:val="Normal"/>
    <w:next w:val="BodyText"/>
    <w:qFormat/>
    <w:rsid w:val="00771CCD"/>
    <w:pPr>
      <w:keepNext/>
      <w:keepLines/>
      <w:pageBreakBefore/>
      <w:spacing w:after="120" w:before="240" w:line="480" w:lineRule="auto"/>
      <w:ind w:left="1440" w:right="144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57EDB"/>
    <w:rPr>
      <w:rFonts w:ascii="Arial" w:cstheme="majorBidi" w:eastAsiaTheme="majorEastAsia" w:hAnsi="Arial"/>
      <w:b/>
      <w:sz w:val="22"/>
      <w:szCs w:val="32"/>
    </w:rPr>
  </w:style>
  <w:style w:customStyle="1" w:styleId="Heading3Char" w:type="character">
    <w:name w:val="Heading 3 Char"/>
    <w:basedOn w:val="DefaultParagraphFont"/>
    <w:link w:val="Heading3"/>
    <w:uiPriority w:val="9"/>
    <w:semiHidden/>
    <w:rsid w:val="007467E2"/>
    <w:rPr>
      <w:rFonts w:ascii="Cambria" w:cstheme="majorBidi" w:eastAsiaTheme="majorEastAsia" w:hAnsi="Cambria"/>
      <w:b/>
      <w:sz w:val="22"/>
      <w:szCs w:val="28"/>
    </w:rPr>
  </w:style>
  <w:style w:customStyle="1" w:styleId="Heading4Char" w:type="character">
    <w:name w:val="Heading 4 Char"/>
    <w:basedOn w:val="DefaultParagraphFont"/>
    <w:link w:val="Heading4"/>
    <w:uiPriority w:val="9"/>
    <w:semiHidden/>
    <w:rsid w:val="00504587"/>
    <w:rPr>
      <w:rFonts w:ascii="Cambria" w:cstheme="majorBidi" w:eastAsiaTheme="majorEastAsia" w:hAnsi="Cambria"/>
      <w:iCs/>
      <w:sz w:val="22"/>
      <w:u w:val="single"/>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rsid w:val="00F84592"/>
    <w:pPr>
      <w:pBdr>
        <w:left w:color="auto" w:space="4" w:sz="4" w:val="single"/>
      </w:pBdr>
      <w:spacing w:after="100" w:before="100"/>
      <w:ind w:left="480" w:right="480"/>
    </w:pPr>
  </w:style>
  <w:style w:styleId="FootnoteText" w:type="paragraph">
    <w:name w:val="footnote text"/>
    <w:basedOn w:val="Normal"/>
    <w:uiPriority w:val="9"/>
    <w:unhideWhenUsed/>
    <w:qFormat/>
    <w:rsid w:val="00A57EDB"/>
    <w:rPr>
      <w:sz w:val="16"/>
    </w:rPr>
  </w:style>
  <w:style w:customStyle="1" w:styleId="FootnoteBlockText" w:type="paragraph">
    <w:name w:val="Footnote Block Text"/>
    <w:basedOn w:val="FootnoteText"/>
    <w:next w:val="FootnoteText"/>
    <w:uiPriority w:val="9"/>
    <w:unhideWhenUsed/>
    <w:qFormat/>
    <w:pPr>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6F2495"/>
    <w:rPr>
      <w:b/>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Normal"/>
    <w:next w:val="BodyText"/>
    <w:uiPriority w:val="39"/>
    <w:unhideWhenUsed/>
    <w:qFormat/>
    <w:rsid w:val="00C97BA2"/>
    <w:pPr>
      <w:pageBreakBefore/>
      <w:widowControl w:val="0"/>
      <w:spacing w:before="220" w:line="259" w:lineRule="auto"/>
    </w:pPr>
    <w:rPr>
      <w:b/>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b/>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b/>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TOC2" w:type="paragraph">
    <w:name w:val="toc 2"/>
    <w:basedOn w:val="Normal"/>
    <w:next w:val="Normal"/>
    <w:autoRedefine/>
    <w:uiPriority w:val="39"/>
    <w:rsid w:val="00070816"/>
    <w:pPr>
      <w:ind w:left="220"/>
    </w:pPr>
  </w:style>
  <w:style w:styleId="TOC3" w:type="paragraph">
    <w:name w:val="toc 3"/>
    <w:basedOn w:val="Normal"/>
    <w:next w:val="Normal"/>
    <w:autoRedefine/>
    <w:uiPriority w:val="39"/>
    <w:rsid w:val="00070816"/>
    <w:pPr>
      <w:ind w:left="440"/>
    </w:pPr>
  </w:style>
  <w:style w:styleId="Footer" w:type="paragraph">
    <w:name w:val="footer"/>
    <w:basedOn w:val="Normal"/>
    <w:link w:val="FooterChar"/>
    <w:rsid w:val="000A2F4C"/>
    <w:pPr>
      <w:tabs>
        <w:tab w:pos="4680" w:val="center"/>
        <w:tab w:pos="9360" w:val="right"/>
      </w:tabs>
      <w:spacing w:after="0"/>
    </w:pPr>
  </w:style>
  <w:style w:customStyle="1" w:styleId="FooterChar" w:type="character">
    <w:name w:val="Footer Char"/>
    <w:basedOn w:val="DefaultParagraphFont"/>
    <w:link w:val="Footer"/>
    <w:rsid w:val="000A2F4C"/>
    <w:rPr>
      <w:rFonts w:ascii="Excalifont" w:hAnsi="Excalifont"/>
      <w:sz w:val="22"/>
    </w:rPr>
  </w:style>
  <w:style w:styleId="PageNumber" w:type="character">
    <w:name w:val="page number"/>
    <w:basedOn w:val="DefaultParagraphFont"/>
    <w:rsid w:val="000A2F4C"/>
  </w:style>
  <w:style w:customStyle="1" w:styleId="Commentary" w:type="paragraph">
    <w:name w:val="Commentary"/>
    <w:basedOn w:val="BodyText"/>
    <w:qFormat/>
    <w:rsid w:val="002C0CA5"/>
    <w:pPr>
      <w:ind w:left="720" w:right="720"/>
    </w:pPr>
    <w:rPr>
      <w:rFonts w:ascii="Excalifont" w:hAnsi="Excalifont"/>
    </w:rPr>
  </w:style>
  <w:style w:customStyle="1" w:styleId="RLIndented" w:type="paragraph">
    <w:name w:val="RLIndented"/>
    <w:basedOn w:val="BodyText"/>
    <w:qFormat/>
    <w:rsid w:val="007B5AAF"/>
    <w:pPr>
      <w:ind w:left="1440" w:right="1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0" Target="media/rId20.png" /><Relationship Type="http://schemas.openxmlformats.org/officeDocument/2006/relationships/hyperlink" Id="rId28" Target="https://quantsci.s3.amazonaws.com/Work/HCAP/HRS_cognition_2025-07-22.html" TargetMode="External" /></Relationships>
</file>

<file path=word/_rels/footnotes.xml.rels><?xml version="1.0" encoding="UTF-8"?><Relationships xmlns="http://schemas.openxmlformats.org/package/2006/relationships"><Relationship Type="http://schemas.openxmlformats.org/officeDocument/2006/relationships/hyperlink" Id="rId28" Target="https://quantsci.s3.amazonaws.com/Work/HCAP/HRS_cognition_2025-07-22.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915</Words>
  <Characters>5218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Essays about Change</vt:lpstr>
    </vt:vector>
  </TitlesOfParts>
  <Company>Brown University</Company>
  <LinksUpToDate>false</LinksUpToDate>
  <CharactersWithSpaces>6121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Prevalence of Dementia and Mild Cognitive Impairment in the Health and Retirement Study: Figures, Tables, and Appendices</dc:title>
  <dc:creator>Richard N. Jones; Jennifer J. Manly; Douglas Tommet; Lindsay Kobayashi; Lindsay H. Ryan; Deborah A. Levine; Ryan J. McCammon; Steven G. Heeringa; David Weir; Kenneth M. Langa</dc:creator>
  <cp:keywords/>
  <dcterms:created xsi:type="dcterms:W3CDTF">2025-07-23T10:09:00Z</dcterms:created>
  <dcterms:modified xsi:type="dcterms:W3CDTF">2025-07-23T10:09:00Z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y-affiliation">
    <vt:lpwstr/>
  </property>
  <property fmtid="{D5CDD505-2E9C-101B-9397-08002B2CF9AE}" pid="6" name="by-author">
    <vt:lpwstr/>
  </property>
  <property fmtid="{D5CDD505-2E9C-101B-9397-08002B2CF9AE}" pid="7" name="date">
    <vt:lpwstr>2025-07-22</vt:lpwstr>
  </property>
  <property fmtid="{D5CDD505-2E9C-101B-9397-08002B2CF9AE}" pid="8" name="editor">
    <vt:lpwstr>source</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